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B539" w14:textId="5D8F9375" w:rsidR="00047D39" w:rsidRDefault="00014909" w:rsidP="00014909">
      <w:pPr>
        <w:spacing w:before="100" w:beforeAutospacing="1" w:after="100" w:afterAutospacing="1"/>
        <w:jc w:val="right"/>
        <w:outlineLvl w:val="0"/>
        <w:rPr>
          <w:rFonts w:eastAsia="Times New Roman" w:cstheme="minorHAnsi"/>
          <w:b/>
          <w:bCs/>
          <w:color w:val="000000"/>
          <w:kern w:val="36"/>
          <w:sz w:val="22"/>
          <w:szCs w:val="22"/>
          <w:highlight w:val="yellow"/>
          <w:lang w:eastAsia="en-GB"/>
        </w:rPr>
      </w:pPr>
      <w:r>
        <w:rPr>
          <w:noProof/>
        </w:rPr>
        <w:drawing>
          <wp:inline distT="0" distB="0" distL="0" distR="0" wp14:anchorId="6578F0CD" wp14:editId="6BBAD39E">
            <wp:extent cx="1463040" cy="1431321"/>
            <wp:effectExtent l="0" t="0" r="0" b="0"/>
            <wp:docPr id="1" name="Picture 1" descr="MANAAKITANZA ATTENER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NAAKITANZA ATTENERON.&#10;&#10;AI-generated content may be incorrect."/>
                    <pic:cNvPicPr/>
                  </pic:nvPicPr>
                  <pic:blipFill>
                    <a:blip r:embed="rId10"/>
                    <a:stretch>
                      <a:fillRect/>
                    </a:stretch>
                  </pic:blipFill>
                  <pic:spPr>
                    <a:xfrm>
                      <a:off x="0" y="0"/>
                      <a:ext cx="1463040" cy="1431321"/>
                    </a:xfrm>
                    <a:prstGeom prst="rect">
                      <a:avLst/>
                    </a:prstGeom>
                  </pic:spPr>
                </pic:pic>
              </a:graphicData>
            </a:graphic>
          </wp:inline>
        </w:drawing>
      </w:r>
    </w:p>
    <w:p w14:paraId="55B79BFC" w14:textId="1953898D" w:rsidR="00014909" w:rsidRPr="00014909" w:rsidRDefault="00014909" w:rsidP="003C19A4">
      <w:pPr>
        <w:spacing w:before="100" w:beforeAutospacing="1" w:after="100" w:afterAutospacing="1"/>
        <w:outlineLvl w:val="1"/>
        <w:rPr>
          <w:rFonts w:ascii="Arial" w:eastAsia="Times New Roman" w:hAnsi="Arial" w:cs="Arial"/>
          <w:b/>
          <w:bCs/>
          <w:color w:val="000000"/>
          <w:lang w:eastAsia="en-GB"/>
        </w:rPr>
      </w:pPr>
      <w:r w:rsidRPr="00014909">
        <w:rPr>
          <w:rFonts w:ascii="Arial" w:eastAsia="Times New Roman" w:hAnsi="Arial" w:cs="Arial"/>
          <w:b/>
          <w:bCs/>
          <w:color w:val="000000"/>
          <w:lang w:eastAsia="en-GB"/>
        </w:rPr>
        <w:t>Safety Checking of Staff and Providers Policy</w:t>
      </w:r>
    </w:p>
    <w:p w14:paraId="547E6587" w14:textId="77777777" w:rsidR="003C19A4" w:rsidRPr="00014909" w:rsidRDefault="003C19A4" w:rsidP="003C19A4">
      <w:pPr>
        <w:spacing w:before="100" w:beforeAutospacing="1" w:after="100" w:afterAutospacing="1"/>
        <w:outlineLvl w:val="1"/>
        <w:rPr>
          <w:rFonts w:ascii="Arial" w:eastAsia="Times New Roman" w:hAnsi="Arial" w:cs="Arial"/>
          <w:b/>
          <w:bCs/>
          <w:color w:val="000000"/>
          <w:sz w:val="22"/>
          <w:szCs w:val="22"/>
          <w:lang w:eastAsia="en-GB"/>
        </w:rPr>
      </w:pPr>
      <w:r w:rsidRPr="00014909">
        <w:rPr>
          <w:rFonts w:ascii="Arial" w:eastAsia="Times New Roman" w:hAnsi="Arial" w:cs="Arial"/>
          <w:b/>
          <w:bCs/>
          <w:color w:val="000000"/>
          <w:sz w:val="22"/>
          <w:szCs w:val="22"/>
          <w:lang w:eastAsia="en-GB"/>
        </w:rPr>
        <w:t>1. Purpose</w:t>
      </w:r>
    </w:p>
    <w:p w14:paraId="184087DE" w14:textId="49A57702" w:rsidR="00F30133" w:rsidRPr="00014909" w:rsidRDefault="00F30133" w:rsidP="00F30133">
      <w:p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 xml:space="preserve">To ensure all staff and contracted providers working with </w:t>
      </w:r>
      <w:r w:rsidR="00C61AA4" w:rsidRPr="00014909">
        <w:rPr>
          <w:rFonts w:ascii="Arial" w:eastAsia="Times New Roman" w:hAnsi="Arial" w:cs="Arial"/>
          <w:color w:val="000000"/>
          <w:sz w:val="22"/>
          <w:szCs w:val="22"/>
          <w:lang w:eastAsia="en-GB"/>
        </w:rPr>
        <w:t>South Coast Psychology</w:t>
      </w:r>
      <w:r w:rsidRPr="00014909">
        <w:rPr>
          <w:rFonts w:ascii="Arial" w:eastAsia="Times New Roman" w:hAnsi="Arial" w:cs="Arial"/>
          <w:color w:val="000000"/>
          <w:sz w:val="22"/>
          <w:szCs w:val="22"/>
          <w:lang w:eastAsia="en-GB"/>
        </w:rPr>
        <w:t xml:space="preserve"> are appropriately safety checked before engagement and throughout their tenure, safeguarding the wellbeing of clients, staff, and the organisation, and ensuring compliance with New Zealand legislation, contractual obligations, and sector best practice.</w:t>
      </w:r>
    </w:p>
    <w:p w14:paraId="7EA90615" w14:textId="7327E1E1" w:rsidR="00F30133" w:rsidRPr="00014909" w:rsidRDefault="00AF4FA5" w:rsidP="00F30133">
      <w:pPr>
        <w:spacing w:before="100" w:beforeAutospacing="1" w:after="100" w:afterAutospacing="1"/>
        <w:outlineLvl w:val="1"/>
        <w:rPr>
          <w:rFonts w:ascii="Arial" w:eastAsia="Times New Roman" w:hAnsi="Arial" w:cs="Arial"/>
          <w:b/>
          <w:bCs/>
          <w:color w:val="000000"/>
          <w:sz w:val="22"/>
          <w:szCs w:val="22"/>
          <w:lang w:eastAsia="en-GB"/>
        </w:rPr>
      </w:pPr>
      <w:r w:rsidRPr="00014909">
        <w:rPr>
          <w:rFonts w:ascii="Arial" w:eastAsia="Times New Roman" w:hAnsi="Arial" w:cs="Arial"/>
          <w:b/>
          <w:bCs/>
          <w:color w:val="000000"/>
          <w:sz w:val="22"/>
          <w:szCs w:val="22"/>
          <w:lang w:eastAsia="en-GB"/>
        </w:rPr>
        <w:t xml:space="preserve">2. </w:t>
      </w:r>
      <w:r w:rsidR="00F30133" w:rsidRPr="00014909">
        <w:rPr>
          <w:rFonts w:ascii="Arial" w:eastAsia="Times New Roman" w:hAnsi="Arial" w:cs="Arial"/>
          <w:b/>
          <w:bCs/>
          <w:color w:val="000000"/>
          <w:sz w:val="22"/>
          <w:szCs w:val="22"/>
          <w:lang w:eastAsia="en-GB"/>
        </w:rPr>
        <w:t>Scope</w:t>
      </w:r>
    </w:p>
    <w:p w14:paraId="355B3F30" w14:textId="2A6C25A8" w:rsidR="00F30133" w:rsidRPr="00014909" w:rsidRDefault="00F30133" w:rsidP="00F30133">
      <w:p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 xml:space="preserve">This Policy applies to all employees, contractors, subcontractors, and volunteers engaged by </w:t>
      </w:r>
      <w:r w:rsidR="00C61AA4" w:rsidRPr="00014909">
        <w:rPr>
          <w:rFonts w:ascii="Arial" w:eastAsia="Times New Roman" w:hAnsi="Arial" w:cs="Arial"/>
          <w:color w:val="000000"/>
          <w:sz w:val="22"/>
          <w:szCs w:val="22"/>
          <w:lang w:eastAsia="en-GB"/>
        </w:rPr>
        <w:t>South Coast Psychology</w:t>
      </w:r>
      <w:r w:rsidRPr="00014909">
        <w:rPr>
          <w:rFonts w:ascii="Arial" w:eastAsia="Times New Roman" w:hAnsi="Arial" w:cs="Arial"/>
          <w:color w:val="000000"/>
          <w:sz w:val="22"/>
          <w:szCs w:val="22"/>
          <w:lang w:eastAsia="en-GB"/>
        </w:rPr>
        <w:t xml:space="preserve"> to deliver mental health, wellbeing, supervision, counselling, coaching, equine therapy, and related services.</w:t>
      </w:r>
    </w:p>
    <w:p w14:paraId="0893F7B9" w14:textId="36798D8F" w:rsidR="00F30133" w:rsidRPr="00014909" w:rsidRDefault="00F30133" w:rsidP="00F30133">
      <w:pPr>
        <w:spacing w:before="100" w:beforeAutospacing="1" w:after="100" w:afterAutospacing="1"/>
        <w:outlineLvl w:val="1"/>
        <w:rPr>
          <w:rFonts w:ascii="Arial" w:eastAsia="Times New Roman" w:hAnsi="Arial" w:cs="Arial"/>
          <w:b/>
          <w:bCs/>
          <w:color w:val="000000"/>
          <w:sz w:val="22"/>
          <w:szCs w:val="22"/>
          <w:lang w:eastAsia="en-GB"/>
        </w:rPr>
      </w:pPr>
      <w:r w:rsidRPr="00014909">
        <w:rPr>
          <w:rFonts w:ascii="Arial" w:eastAsia="Times New Roman" w:hAnsi="Arial" w:cs="Arial"/>
          <w:b/>
          <w:bCs/>
          <w:color w:val="000000"/>
          <w:sz w:val="22"/>
          <w:szCs w:val="22"/>
          <w:lang w:eastAsia="en-GB"/>
        </w:rPr>
        <w:t xml:space="preserve">Policy </w:t>
      </w:r>
      <w:r w:rsidR="00014909">
        <w:rPr>
          <w:rFonts w:ascii="Arial" w:eastAsia="Times New Roman" w:hAnsi="Arial" w:cs="Arial"/>
          <w:b/>
          <w:bCs/>
          <w:color w:val="000000"/>
          <w:sz w:val="22"/>
          <w:szCs w:val="22"/>
          <w:lang w:eastAsia="en-GB"/>
        </w:rPr>
        <w:t>s</w:t>
      </w:r>
      <w:r w:rsidRPr="00014909">
        <w:rPr>
          <w:rFonts w:ascii="Arial" w:eastAsia="Times New Roman" w:hAnsi="Arial" w:cs="Arial"/>
          <w:b/>
          <w:bCs/>
          <w:color w:val="000000"/>
          <w:sz w:val="22"/>
          <w:szCs w:val="22"/>
          <w:lang w:eastAsia="en-GB"/>
        </w:rPr>
        <w:t>tatements</w:t>
      </w:r>
      <w:r w:rsidR="000E6411">
        <w:rPr>
          <w:rFonts w:ascii="Arial" w:eastAsia="Times New Roman" w:hAnsi="Arial" w:cs="Arial"/>
          <w:b/>
          <w:bCs/>
          <w:color w:val="000000"/>
          <w:sz w:val="22"/>
          <w:szCs w:val="22"/>
          <w:lang w:eastAsia="en-GB"/>
        </w:rPr>
        <w:t>:</w:t>
      </w:r>
    </w:p>
    <w:p w14:paraId="2F931B2C" w14:textId="183061CE" w:rsidR="00F30133" w:rsidRPr="007D109A" w:rsidRDefault="00F30133" w:rsidP="007D109A">
      <w:pPr>
        <w:pStyle w:val="ListParagraph"/>
        <w:numPr>
          <w:ilvl w:val="0"/>
          <w:numId w:val="18"/>
        </w:numPr>
        <w:spacing w:before="100" w:beforeAutospacing="1" w:after="100" w:afterAutospacing="1"/>
        <w:rPr>
          <w:rFonts w:ascii="Arial" w:eastAsia="Times New Roman" w:hAnsi="Arial" w:cs="Arial"/>
          <w:color w:val="000000"/>
          <w:sz w:val="22"/>
          <w:szCs w:val="22"/>
          <w:lang w:eastAsia="en-GB"/>
        </w:rPr>
      </w:pPr>
      <w:r w:rsidRPr="007D109A">
        <w:rPr>
          <w:rFonts w:ascii="Arial" w:eastAsia="Times New Roman" w:hAnsi="Arial" w:cs="Arial"/>
          <w:b/>
          <w:bCs/>
          <w:color w:val="000000"/>
          <w:sz w:val="22"/>
          <w:szCs w:val="22"/>
          <w:lang w:eastAsia="en-GB"/>
        </w:rPr>
        <w:t xml:space="preserve">Mandatory </w:t>
      </w:r>
      <w:r w:rsidR="00014909" w:rsidRPr="007D109A">
        <w:rPr>
          <w:rFonts w:ascii="Arial" w:eastAsia="Times New Roman" w:hAnsi="Arial" w:cs="Arial"/>
          <w:b/>
          <w:bCs/>
          <w:color w:val="000000"/>
          <w:sz w:val="22"/>
          <w:szCs w:val="22"/>
          <w:lang w:eastAsia="en-GB"/>
        </w:rPr>
        <w:t>s</w:t>
      </w:r>
      <w:r w:rsidRPr="007D109A">
        <w:rPr>
          <w:rFonts w:ascii="Arial" w:eastAsia="Times New Roman" w:hAnsi="Arial" w:cs="Arial"/>
          <w:b/>
          <w:bCs/>
          <w:color w:val="000000"/>
          <w:sz w:val="22"/>
          <w:szCs w:val="22"/>
          <w:lang w:eastAsia="en-GB"/>
        </w:rPr>
        <w:t xml:space="preserve">afety </w:t>
      </w:r>
      <w:r w:rsidR="00014909" w:rsidRPr="007D109A">
        <w:rPr>
          <w:rFonts w:ascii="Arial" w:eastAsia="Times New Roman" w:hAnsi="Arial" w:cs="Arial"/>
          <w:b/>
          <w:bCs/>
          <w:color w:val="000000"/>
          <w:sz w:val="22"/>
          <w:szCs w:val="22"/>
          <w:lang w:eastAsia="en-GB"/>
        </w:rPr>
        <w:t>c</w:t>
      </w:r>
      <w:r w:rsidRPr="007D109A">
        <w:rPr>
          <w:rFonts w:ascii="Arial" w:eastAsia="Times New Roman" w:hAnsi="Arial" w:cs="Arial"/>
          <w:b/>
          <w:bCs/>
          <w:color w:val="000000"/>
          <w:sz w:val="22"/>
          <w:szCs w:val="22"/>
          <w:lang w:eastAsia="en-GB"/>
        </w:rPr>
        <w:t>hecks</w:t>
      </w:r>
      <w:r w:rsidRPr="007D109A">
        <w:rPr>
          <w:rFonts w:ascii="Arial" w:eastAsia="Times New Roman" w:hAnsi="Arial" w:cs="Arial"/>
          <w:color w:val="000000"/>
          <w:sz w:val="22"/>
          <w:szCs w:val="22"/>
          <w:lang w:eastAsia="en-GB"/>
        </w:rPr>
        <w:br/>
        <w:t>All new staff and providers must undergo comprehensive safety checks prior to commencing work. These include:</w:t>
      </w:r>
    </w:p>
    <w:p w14:paraId="39862BD8" w14:textId="77777777" w:rsidR="00F30133" w:rsidRPr="00014909" w:rsidRDefault="00F30133" w:rsidP="007D109A">
      <w:pPr>
        <w:numPr>
          <w:ilvl w:val="1"/>
          <w:numId w:val="20"/>
        </w:num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Identity verification</w:t>
      </w:r>
    </w:p>
    <w:p w14:paraId="6B4CD488" w14:textId="77777777" w:rsidR="00F30133" w:rsidRPr="00014909" w:rsidRDefault="00F30133" w:rsidP="007D109A">
      <w:pPr>
        <w:numPr>
          <w:ilvl w:val="1"/>
          <w:numId w:val="20"/>
        </w:num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Police vetting (including Vulnerable Children’s Act (VCA) checks where relevant)</w:t>
      </w:r>
    </w:p>
    <w:p w14:paraId="7D826827" w14:textId="77777777" w:rsidR="00F30133" w:rsidRPr="00014909" w:rsidRDefault="00F30133" w:rsidP="007D109A">
      <w:pPr>
        <w:numPr>
          <w:ilvl w:val="1"/>
          <w:numId w:val="20"/>
        </w:num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Reference checks from previous employers or relevant sources</w:t>
      </w:r>
    </w:p>
    <w:p w14:paraId="0EE29F06" w14:textId="77777777" w:rsidR="00F30133" w:rsidRPr="00014909" w:rsidRDefault="00F30133" w:rsidP="007D109A">
      <w:pPr>
        <w:numPr>
          <w:ilvl w:val="1"/>
          <w:numId w:val="20"/>
        </w:num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Verification of professional registrations or licenses (where applicable)</w:t>
      </w:r>
    </w:p>
    <w:p w14:paraId="26FB7097" w14:textId="77777777" w:rsidR="00F30133" w:rsidRPr="00014909" w:rsidRDefault="00F30133" w:rsidP="007D109A">
      <w:pPr>
        <w:numPr>
          <w:ilvl w:val="1"/>
          <w:numId w:val="20"/>
        </w:num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Employment history verification</w:t>
      </w:r>
    </w:p>
    <w:p w14:paraId="171B084E" w14:textId="77777777" w:rsidR="00F30133" w:rsidRPr="00014909" w:rsidRDefault="00F30133" w:rsidP="007D109A">
      <w:pPr>
        <w:numPr>
          <w:ilvl w:val="1"/>
          <w:numId w:val="20"/>
        </w:num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Interviews including assessment of any safety risks</w:t>
      </w:r>
    </w:p>
    <w:p w14:paraId="2807AC70" w14:textId="76BE576E" w:rsidR="007D109A" w:rsidRPr="007D109A" w:rsidRDefault="00F30133" w:rsidP="007D109A">
      <w:pPr>
        <w:numPr>
          <w:ilvl w:val="1"/>
          <w:numId w:val="20"/>
        </w:num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Risk assessments specific to client groups served (e.g., children, vulnerable adults)</w:t>
      </w:r>
    </w:p>
    <w:p w14:paraId="253CA0D2" w14:textId="09E0D752" w:rsidR="00F30133" w:rsidRDefault="00F30133" w:rsidP="007D109A">
      <w:pPr>
        <w:pStyle w:val="ListParagraph"/>
        <w:numPr>
          <w:ilvl w:val="0"/>
          <w:numId w:val="20"/>
        </w:numPr>
        <w:spacing w:before="100" w:beforeAutospacing="1" w:after="100" w:afterAutospacing="1"/>
        <w:rPr>
          <w:rFonts w:ascii="Arial" w:eastAsia="Times New Roman" w:hAnsi="Arial" w:cs="Arial"/>
          <w:color w:val="000000"/>
          <w:sz w:val="22"/>
          <w:szCs w:val="22"/>
          <w:lang w:eastAsia="en-GB"/>
        </w:rPr>
      </w:pPr>
      <w:r w:rsidRPr="007D109A">
        <w:rPr>
          <w:rFonts w:ascii="Arial" w:eastAsia="Times New Roman" w:hAnsi="Arial" w:cs="Arial"/>
          <w:b/>
          <w:bCs/>
          <w:color w:val="000000"/>
          <w:sz w:val="22"/>
          <w:szCs w:val="22"/>
          <w:lang w:eastAsia="en-GB"/>
        </w:rPr>
        <w:t xml:space="preserve">Ongoing </w:t>
      </w:r>
      <w:r w:rsidR="00014909" w:rsidRPr="007D109A">
        <w:rPr>
          <w:rFonts w:ascii="Arial" w:eastAsia="Times New Roman" w:hAnsi="Arial" w:cs="Arial"/>
          <w:b/>
          <w:bCs/>
          <w:color w:val="000000"/>
          <w:sz w:val="22"/>
          <w:szCs w:val="22"/>
          <w:lang w:eastAsia="en-GB"/>
        </w:rPr>
        <w:t>r</w:t>
      </w:r>
      <w:r w:rsidRPr="007D109A">
        <w:rPr>
          <w:rFonts w:ascii="Arial" w:eastAsia="Times New Roman" w:hAnsi="Arial" w:cs="Arial"/>
          <w:b/>
          <w:bCs/>
          <w:color w:val="000000"/>
          <w:sz w:val="22"/>
          <w:szCs w:val="22"/>
          <w:lang w:eastAsia="en-GB"/>
        </w:rPr>
        <w:t>everification</w:t>
      </w:r>
      <w:r w:rsidRPr="007D109A">
        <w:rPr>
          <w:rFonts w:ascii="Arial" w:eastAsia="Times New Roman" w:hAnsi="Arial" w:cs="Arial"/>
          <w:color w:val="000000"/>
          <w:sz w:val="22"/>
          <w:szCs w:val="22"/>
          <w:lang w:eastAsia="en-GB"/>
        </w:rPr>
        <w:br/>
        <w:t>Safety checks will be refreshed regularly (at minimum every three years or earlier if required by legislation, contractual obligations, or organisational risk assessment). Any significant concerns identified will trigger review and possible remedial actions.</w:t>
      </w:r>
    </w:p>
    <w:p w14:paraId="21F25403" w14:textId="1A145B62" w:rsidR="00F30133" w:rsidRPr="007D109A" w:rsidRDefault="00F30133" w:rsidP="007D109A">
      <w:pPr>
        <w:pStyle w:val="ListParagraph"/>
        <w:numPr>
          <w:ilvl w:val="0"/>
          <w:numId w:val="20"/>
        </w:numPr>
        <w:spacing w:before="100" w:beforeAutospacing="1" w:after="100" w:afterAutospacing="1"/>
        <w:rPr>
          <w:rFonts w:ascii="Arial" w:eastAsia="Times New Roman" w:hAnsi="Arial" w:cs="Arial"/>
          <w:color w:val="000000"/>
          <w:sz w:val="22"/>
          <w:szCs w:val="22"/>
          <w:lang w:eastAsia="en-GB"/>
        </w:rPr>
      </w:pPr>
      <w:r w:rsidRPr="007D109A">
        <w:rPr>
          <w:rFonts w:ascii="Arial" w:eastAsia="Times New Roman" w:hAnsi="Arial" w:cs="Arial"/>
          <w:b/>
          <w:bCs/>
          <w:color w:val="000000"/>
          <w:sz w:val="22"/>
          <w:szCs w:val="22"/>
          <w:lang w:eastAsia="en-GB"/>
        </w:rPr>
        <w:t xml:space="preserve">Compliance with </w:t>
      </w:r>
      <w:r w:rsidR="00014909" w:rsidRPr="007D109A">
        <w:rPr>
          <w:rFonts w:ascii="Arial" w:eastAsia="Times New Roman" w:hAnsi="Arial" w:cs="Arial"/>
          <w:b/>
          <w:bCs/>
          <w:color w:val="000000"/>
          <w:sz w:val="22"/>
          <w:szCs w:val="22"/>
          <w:lang w:eastAsia="en-GB"/>
        </w:rPr>
        <w:t>l</w:t>
      </w:r>
      <w:r w:rsidRPr="007D109A">
        <w:rPr>
          <w:rFonts w:ascii="Arial" w:eastAsia="Times New Roman" w:hAnsi="Arial" w:cs="Arial"/>
          <w:b/>
          <w:bCs/>
          <w:color w:val="000000"/>
          <w:sz w:val="22"/>
          <w:szCs w:val="22"/>
          <w:lang w:eastAsia="en-GB"/>
        </w:rPr>
        <w:t xml:space="preserve">egislation and </w:t>
      </w:r>
      <w:r w:rsidR="00014909" w:rsidRPr="007D109A">
        <w:rPr>
          <w:rFonts w:ascii="Arial" w:eastAsia="Times New Roman" w:hAnsi="Arial" w:cs="Arial"/>
          <w:b/>
          <w:bCs/>
          <w:color w:val="000000"/>
          <w:sz w:val="22"/>
          <w:szCs w:val="22"/>
          <w:lang w:eastAsia="en-GB"/>
        </w:rPr>
        <w:t>s</w:t>
      </w:r>
      <w:r w:rsidRPr="007D109A">
        <w:rPr>
          <w:rFonts w:ascii="Arial" w:eastAsia="Times New Roman" w:hAnsi="Arial" w:cs="Arial"/>
          <w:b/>
          <w:bCs/>
          <w:color w:val="000000"/>
          <w:sz w:val="22"/>
          <w:szCs w:val="22"/>
          <w:lang w:eastAsia="en-GB"/>
        </w:rPr>
        <w:t>tandards</w:t>
      </w:r>
      <w:r w:rsidRPr="007D109A">
        <w:rPr>
          <w:rFonts w:ascii="Arial" w:eastAsia="Times New Roman" w:hAnsi="Arial" w:cs="Arial"/>
          <w:color w:val="000000"/>
          <w:sz w:val="22"/>
          <w:szCs w:val="22"/>
          <w:lang w:eastAsia="en-GB"/>
        </w:rPr>
        <w:br/>
        <w:t>Safety checking processes shall align with:</w:t>
      </w:r>
    </w:p>
    <w:p w14:paraId="688DB8A6" w14:textId="77777777" w:rsidR="00F30133" w:rsidRPr="00774D3B" w:rsidRDefault="00F30133" w:rsidP="00774D3B">
      <w:pPr>
        <w:pStyle w:val="ListParagraph"/>
        <w:numPr>
          <w:ilvl w:val="1"/>
          <w:numId w:val="19"/>
        </w:numPr>
        <w:spacing w:before="100" w:beforeAutospacing="1" w:after="100" w:afterAutospacing="1"/>
        <w:rPr>
          <w:rFonts w:ascii="Arial" w:eastAsia="Times New Roman" w:hAnsi="Arial" w:cs="Arial"/>
          <w:color w:val="000000"/>
          <w:sz w:val="22"/>
          <w:szCs w:val="22"/>
          <w:lang w:eastAsia="en-GB"/>
        </w:rPr>
      </w:pPr>
      <w:r w:rsidRPr="00774D3B">
        <w:rPr>
          <w:rFonts w:ascii="Arial" w:eastAsia="Times New Roman" w:hAnsi="Arial" w:cs="Arial"/>
          <w:color w:val="000000"/>
          <w:sz w:val="22"/>
          <w:szCs w:val="22"/>
          <w:lang w:eastAsia="en-GB"/>
        </w:rPr>
        <w:t>The Vulnerable Children Act (VCA) 2014 and related regulations</w:t>
      </w:r>
    </w:p>
    <w:p w14:paraId="1FF1B609" w14:textId="77777777" w:rsidR="00F30133" w:rsidRPr="00774D3B" w:rsidRDefault="00F30133" w:rsidP="00774D3B">
      <w:pPr>
        <w:pStyle w:val="ListParagraph"/>
        <w:numPr>
          <w:ilvl w:val="1"/>
          <w:numId w:val="19"/>
        </w:numPr>
        <w:spacing w:before="100" w:beforeAutospacing="1" w:after="100" w:afterAutospacing="1"/>
        <w:rPr>
          <w:rFonts w:ascii="Arial" w:eastAsia="Times New Roman" w:hAnsi="Arial" w:cs="Arial"/>
          <w:color w:val="000000"/>
          <w:sz w:val="22"/>
          <w:szCs w:val="22"/>
          <w:lang w:eastAsia="en-GB"/>
        </w:rPr>
      </w:pPr>
      <w:r w:rsidRPr="00774D3B">
        <w:rPr>
          <w:rFonts w:ascii="Arial" w:eastAsia="Times New Roman" w:hAnsi="Arial" w:cs="Arial"/>
          <w:color w:val="000000"/>
          <w:sz w:val="22"/>
          <w:szCs w:val="22"/>
          <w:lang w:eastAsia="en-GB"/>
        </w:rPr>
        <w:t>Health and Safety at Work Act 2015</w:t>
      </w:r>
    </w:p>
    <w:p w14:paraId="16E1492B" w14:textId="77777777" w:rsidR="00F30133" w:rsidRPr="00774D3B" w:rsidRDefault="00F30133" w:rsidP="00774D3B">
      <w:pPr>
        <w:pStyle w:val="ListParagraph"/>
        <w:numPr>
          <w:ilvl w:val="1"/>
          <w:numId w:val="19"/>
        </w:numPr>
        <w:spacing w:before="100" w:beforeAutospacing="1" w:after="100" w:afterAutospacing="1"/>
        <w:rPr>
          <w:rFonts w:ascii="Arial" w:eastAsia="Times New Roman" w:hAnsi="Arial" w:cs="Arial"/>
          <w:color w:val="000000"/>
          <w:sz w:val="22"/>
          <w:szCs w:val="22"/>
          <w:lang w:eastAsia="en-GB"/>
        </w:rPr>
      </w:pPr>
      <w:r w:rsidRPr="00774D3B">
        <w:rPr>
          <w:rFonts w:ascii="Arial" w:eastAsia="Times New Roman" w:hAnsi="Arial" w:cs="Arial"/>
          <w:color w:val="000000"/>
          <w:sz w:val="22"/>
          <w:szCs w:val="22"/>
          <w:lang w:eastAsia="en-GB"/>
        </w:rPr>
        <w:t>Privacy Act 2020 and Health Information Privacy Code</w:t>
      </w:r>
    </w:p>
    <w:p w14:paraId="5BC0BE8D" w14:textId="77777777" w:rsidR="00774D3B" w:rsidRPr="00774D3B" w:rsidRDefault="00F30133" w:rsidP="00774D3B">
      <w:pPr>
        <w:pStyle w:val="ListParagraph"/>
        <w:numPr>
          <w:ilvl w:val="1"/>
          <w:numId w:val="19"/>
        </w:numPr>
        <w:spacing w:before="100" w:beforeAutospacing="1" w:after="100" w:afterAutospacing="1"/>
        <w:rPr>
          <w:rFonts w:ascii="Arial" w:eastAsia="Times New Roman" w:hAnsi="Arial" w:cs="Arial"/>
          <w:color w:val="000000"/>
          <w:sz w:val="22"/>
          <w:szCs w:val="22"/>
          <w:lang w:eastAsia="en-GB"/>
        </w:rPr>
      </w:pPr>
      <w:r w:rsidRPr="00774D3B">
        <w:rPr>
          <w:rFonts w:ascii="Arial" w:eastAsia="Times New Roman" w:hAnsi="Arial" w:cs="Arial"/>
          <w:color w:val="000000"/>
          <w:sz w:val="22"/>
          <w:szCs w:val="22"/>
          <w:lang w:eastAsia="en-GB"/>
        </w:rPr>
        <w:t>ACC Sensitive Claims Service (SCS) contract requirements</w:t>
      </w:r>
    </w:p>
    <w:p w14:paraId="0C5B0F74" w14:textId="77777777" w:rsidR="00F30133" w:rsidRPr="00774D3B" w:rsidRDefault="00F30133" w:rsidP="00774D3B">
      <w:pPr>
        <w:pStyle w:val="ListParagraph"/>
        <w:numPr>
          <w:ilvl w:val="1"/>
          <w:numId w:val="19"/>
        </w:numPr>
        <w:spacing w:before="100" w:beforeAutospacing="1" w:after="100" w:afterAutospacing="1"/>
        <w:rPr>
          <w:rFonts w:ascii="Arial" w:eastAsia="Times New Roman" w:hAnsi="Arial" w:cs="Arial"/>
          <w:color w:val="000000"/>
          <w:sz w:val="22"/>
          <w:szCs w:val="22"/>
          <w:lang w:eastAsia="en-GB"/>
        </w:rPr>
      </w:pPr>
      <w:r w:rsidRPr="00774D3B">
        <w:rPr>
          <w:rFonts w:ascii="Arial" w:eastAsia="Times New Roman" w:hAnsi="Arial" w:cs="Arial"/>
          <w:color w:val="000000"/>
          <w:sz w:val="22"/>
          <w:szCs w:val="22"/>
          <w:lang w:eastAsia="en-GB"/>
        </w:rPr>
        <w:t>Other contractual and sector-specific policies (MBIE, WINZ, EAP, etc.)</w:t>
      </w:r>
    </w:p>
    <w:p w14:paraId="1C6C7BA8" w14:textId="6C046DBE" w:rsidR="00F30133" w:rsidRPr="007D109A" w:rsidRDefault="00F30133" w:rsidP="007D109A">
      <w:pPr>
        <w:pStyle w:val="ListParagraph"/>
        <w:numPr>
          <w:ilvl w:val="0"/>
          <w:numId w:val="19"/>
        </w:numPr>
        <w:spacing w:before="100" w:beforeAutospacing="1" w:after="100" w:afterAutospacing="1"/>
        <w:rPr>
          <w:rFonts w:ascii="Arial" w:eastAsia="Times New Roman" w:hAnsi="Arial" w:cs="Arial"/>
          <w:color w:val="000000"/>
          <w:sz w:val="22"/>
          <w:szCs w:val="22"/>
          <w:lang w:eastAsia="en-GB"/>
        </w:rPr>
      </w:pPr>
      <w:r w:rsidRPr="007D109A">
        <w:rPr>
          <w:rFonts w:ascii="Arial" w:eastAsia="Times New Roman" w:hAnsi="Arial" w:cs="Arial"/>
          <w:b/>
          <w:bCs/>
          <w:color w:val="000000"/>
          <w:sz w:val="22"/>
          <w:szCs w:val="22"/>
          <w:lang w:eastAsia="en-GB"/>
        </w:rPr>
        <w:lastRenderedPageBreak/>
        <w:t xml:space="preserve">Risk </w:t>
      </w:r>
      <w:r w:rsidR="00014909" w:rsidRPr="007D109A">
        <w:rPr>
          <w:rFonts w:ascii="Arial" w:eastAsia="Times New Roman" w:hAnsi="Arial" w:cs="Arial"/>
          <w:b/>
          <w:bCs/>
          <w:color w:val="000000"/>
          <w:sz w:val="22"/>
          <w:szCs w:val="22"/>
          <w:lang w:eastAsia="en-GB"/>
        </w:rPr>
        <w:t>m</w:t>
      </w:r>
      <w:r w:rsidRPr="007D109A">
        <w:rPr>
          <w:rFonts w:ascii="Arial" w:eastAsia="Times New Roman" w:hAnsi="Arial" w:cs="Arial"/>
          <w:b/>
          <w:bCs/>
          <w:color w:val="000000"/>
          <w:sz w:val="22"/>
          <w:szCs w:val="22"/>
          <w:lang w:eastAsia="en-GB"/>
        </w:rPr>
        <w:t>anagement</w:t>
      </w:r>
      <w:r w:rsidRPr="007D109A">
        <w:rPr>
          <w:rFonts w:ascii="Arial" w:eastAsia="Times New Roman" w:hAnsi="Arial" w:cs="Arial"/>
          <w:color w:val="000000"/>
          <w:sz w:val="22"/>
          <w:szCs w:val="22"/>
          <w:lang w:eastAsia="en-GB"/>
        </w:rPr>
        <w:br/>
        <w:t>Identified risks from safety checks will be assessed and managed, including consideration of suitability for roles involving contact with vulnerable populations or high-risk environments.</w:t>
      </w:r>
    </w:p>
    <w:p w14:paraId="08D09D73" w14:textId="22035F5F" w:rsidR="00F30133" w:rsidRPr="007D109A" w:rsidRDefault="00F30133" w:rsidP="007D109A">
      <w:pPr>
        <w:pStyle w:val="ListParagraph"/>
        <w:numPr>
          <w:ilvl w:val="0"/>
          <w:numId w:val="21"/>
        </w:numPr>
        <w:spacing w:before="100" w:beforeAutospacing="1" w:after="100" w:afterAutospacing="1"/>
        <w:rPr>
          <w:rFonts w:ascii="Arial" w:eastAsia="Times New Roman" w:hAnsi="Arial" w:cs="Arial"/>
          <w:color w:val="000000"/>
          <w:sz w:val="22"/>
          <w:szCs w:val="22"/>
          <w:lang w:eastAsia="en-GB"/>
        </w:rPr>
      </w:pPr>
      <w:r w:rsidRPr="007D109A">
        <w:rPr>
          <w:rFonts w:ascii="Arial" w:eastAsia="Times New Roman" w:hAnsi="Arial" w:cs="Arial"/>
          <w:b/>
          <w:bCs/>
          <w:color w:val="000000"/>
          <w:sz w:val="22"/>
          <w:szCs w:val="22"/>
          <w:lang w:eastAsia="en-GB"/>
        </w:rPr>
        <w:t xml:space="preserve">Confidentiality and </w:t>
      </w:r>
      <w:r w:rsidR="00014909" w:rsidRPr="007D109A">
        <w:rPr>
          <w:rFonts w:ascii="Arial" w:eastAsia="Times New Roman" w:hAnsi="Arial" w:cs="Arial"/>
          <w:b/>
          <w:bCs/>
          <w:color w:val="000000"/>
          <w:sz w:val="22"/>
          <w:szCs w:val="22"/>
          <w:lang w:eastAsia="en-GB"/>
        </w:rPr>
        <w:t>i</w:t>
      </w:r>
      <w:r w:rsidRPr="007D109A">
        <w:rPr>
          <w:rFonts w:ascii="Arial" w:eastAsia="Times New Roman" w:hAnsi="Arial" w:cs="Arial"/>
          <w:b/>
          <w:bCs/>
          <w:color w:val="000000"/>
          <w:sz w:val="22"/>
          <w:szCs w:val="22"/>
          <w:lang w:eastAsia="en-GB"/>
        </w:rPr>
        <w:t xml:space="preserve">nformation </w:t>
      </w:r>
      <w:r w:rsidR="00014909" w:rsidRPr="007D109A">
        <w:rPr>
          <w:rFonts w:ascii="Arial" w:eastAsia="Times New Roman" w:hAnsi="Arial" w:cs="Arial"/>
          <w:b/>
          <w:bCs/>
          <w:color w:val="000000"/>
          <w:sz w:val="22"/>
          <w:szCs w:val="22"/>
          <w:lang w:eastAsia="en-GB"/>
        </w:rPr>
        <w:t>s</w:t>
      </w:r>
      <w:r w:rsidRPr="007D109A">
        <w:rPr>
          <w:rFonts w:ascii="Arial" w:eastAsia="Times New Roman" w:hAnsi="Arial" w:cs="Arial"/>
          <w:b/>
          <w:bCs/>
          <w:color w:val="000000"/>
          <w:sz w:val="22"/>
          <w:szCs w:val="22"/>
          <w:lang w:eastAsia="en-GB"/>
        </w:rPr>
        <w:t>ecurity</w:t>
      </w:r>
      <w:r w:rsidRPr="007D109A">
        <w:rPr>
          <w:rFonts w:ascii="Arial" w:eastAsia="Times New Roman" w:hAnsi="Arial" w:cs="Arial"/>
          <w:color w:val="000000"/>
          <w:sz w:val="22"/>
          <w:szCs w:val="22"/>
          <w:lang w:eastAsia="en-GB"/>
        </w:rPr>
        <w:br/>
        <w:t>All safety check information will be handled securely, stored confidentially, and accessed only by authorised personnel in compliance with privacy legislation.</w:t>
      </w:r>
    </w:p>
    <w:p w14:paraId="4634E7D8" w14:textId="096FF0CB" w:rsidR="00F30133" w:rsidRPr="007D109A" w:rsidRDefault="00F30133" w:rsidP="007D109A">
      <w:pPr>
        <w:pStyle w:val="ListParagraph"/>
        <w:numPr>
          <w:ilvl w:val="0"/>
          <w:numId w:val="21"/>
        </w:numPr>
        <w:spacing w:before="100" w:beforeAutospacing="1" w:after="100" w:afterAutospacing="1"/>
        <w:rPr>
          <w:rFonts w:ascii="Arial" w:eastAsia="Times New Roman" w:hAnsi="Arial" w:cs="Arial"/>
          <w:color w:val="000000"/>
          <w:sz w:val="22"/>
          <w:szCs w:val="22"/>
          <w:lang w:eastAsia="en-GB"/>
        </w:rPr>
      </w:pPr>
      <w:r w:rsidRPr="007D109A">
        <w:rPr>
          <w:rFonts w:ascii="Arial" w:eastAsia="Times New Roman" w:hAnsi="Arial" w:cs="Arial"/>
          <w:b/>
          <w:bCs/>
          <w:color w:val="000000"/>
          <w:sz w:val="22"/>
          <w:szCs w:val="22"/>
          <w:lang w:eastAsia="en-GB"/>
        </w:rPr>
        <w:t xml:space="preserve">Equine Therapy </w:t>
      </w:r>
      <w:r w:rsidR="00014909" w:rsidRPr="007D109A">
        <w:rPr>
          <w:rFonts w:ascii="Arial" w:eastAsia="Times New Roman" w:hAnsi="Arial" w:cs="Arial"/>
          <w:b/>
          <w:bCs/>
          <w:color w:val="000000"/>
          <w:sz w:val="22"/>
          <w:szCs w:val="22"/>
          <w:lang w:eastAsia="en-GB"/>
        </w:rPr>
        <w:t>p</w:t>
      </w:r>
      <w:r w:rsidRPr="007D109A">
        <w:rPr>
          <w:rFonts w:ascii="Arial" w:eastAsia="Times New Roman" w:hAnsi="Arial" w:cs="Arial"/>
          <w:b/>
          <w:bCs/>
          <w:color w:val="000000"/>
          <w:sz w:val="22"/>
          <w:szCs w:val="22"/>
          <w:lang w:eastAsia="en-GB"/>
        </w:rPr>
        <w:t>roviders</w:t>
      </w:r>
      <w:r w:rsidRPr="007D109A">
        <w:rPr>
          <w:rFonts w:ascii="Arial" w:eastAsia="Times New Roman" w:hAnsi="Arial" w:cs="Arial"/>
          <w:color w:val="000000"/>
          <w:sz w:val="22"/>
          <w:szCs w:val="22"/>
          <w:lang w:eastAsia="en-GB"/>
        </w:rPr>
        <w:br/>
      </w:r>
      <w:proofErr w:type="spellStart"/>
      <w:r w:rsidRPr="007D109A">
        <w:rPr>
          <w:rFonts w:ascii="Arial" w:eastAsia="Times New Roman" w:hAnsi="Arial" w:cs="Arial"/>
          <w:color w:val="000000"/>
          <w:sz w:val="22"/>
          <w:szCs w:val="22"/>
          <w:lang w:eastAsia="en-GB"/>
        </w:rPr>
        <w:t>Providers</w:t>
      </w:r>
      <w:proofErr w:type="spellEnd"/>
      <w:r w:rsidRPr="007D109A">
        <w:rPr>
          <w:rFonts w:ascii="Arial" w:eastAsia="Times New Roman" w:hAnsi="Arial" w:cs="Arial"/>
          <w:color w:val="000000"/>
          <w:sz w:val="22"/>
          <w:szCs w:val="22"/>
          <w:lang w:eastAsia="en-GB"/>
        </w:rPr>
        <w:t xml:space="preserve"> delivering equine therapy will be subject to all standard safety checks plus any additional requirements relating to animal welfare, site safety, and specialised therapy risks.</w:t>
      </w:r>
    </w:p>
    <w:p w14:paraId="76AF239B" w14:textId="7D059408" w:rsidR="00F30133" w:rsidRPr="007D109A" w:rsidRDefault="00F30133" w:rsidP="007D109A">
      <w:pPr>
        <w:pStyle w:val="ListParagraph"/>
        <w:numPr>
          <w:ilvl w:val="0"/>
          <w:numId w:val="21"/>
        </w:numPr>
        <w:spacing w:before="100" w:beforeAutospacing="1" w:after="100" w:afterAutospacing="1"/>
        <w:rPr>
          <w:rFonts w:ascii="Arial" w:eastAsia="Times New Roman" w:hAnsi="Arial" w:cs="Arial"/>
          <w:color w:val="000000"/>
          <w:sz w:val="22"/>
          <w:szCs w:val="22"/>
          <w:lang w:eastAsia="en-GB"/>
        </w:rPr>
      </w:pPr>
      <w:r w:rsidRPr="007D109A">
        <w:rPr>
          <w:rFonts w:ascii="Arial" w:eastAsia="Times New Roman" w:hAnsi="Arial" w:cs="Arial"/>
          <w:b/>
          <w:bCs/>
          <w:color w:val="000000"/>
          <w:sz w:val="22"/>
          <w:szCs w:val="22"/>
          <w:lang w:eastAsia="en-GB"/>
        </w:rPr>
        <w:t xml:space="preserve">Record </w:t>
      </w:r>
      <w:r w:rsidR="00014909" w:rsidRPr="007D109A">
        <w:rPr>
          <w:rFonts w:ascii="Arial" w:eastAsia="Times New Roman" w:hAnsi="Arial" w:cs="Arial"/>
          <w:b/>
          <w:bCs/>
          <w:color w:val="000000"/>
          <w:sz w:val="22"/>
          <w:szCs w:val="22"/>
          <w:lang w:eastAsia="en-GB"/>
        </w:rPr>
        <w:t>k</w:t>
      </w:r>
      <w:r w:rsidRPr="007D109A">
        <w:rPr>
          <w:rFonts w:ascii="Arial" w:eastAsia="Times New Roman" w:hAnsi="Arial" w:cs="Arial"/>
          <w:b/>
          <w:bCs/>
          <w:color w:val="000000"/>
          <w:sz w:val="22"/>
          <w:szCs w:val="22"/>
          <w:lang w:eastAsia="en-GB"/>
        </w:rPr>
        <w:t>eeping</w:t>
      </w:r>
      <w:r w:rsidRPr="007D109A">
        <w:rPr>
          <w:rFonts w:ascii="Arial" w:eastAsia="Times New Roman" w:hAnsi="Arial" w:cs="Arial"/>
          <w:color w:val="000000"/>
          <w:sz w:val="22"/>
          <w:szCs w:val="22"/>
          <w:lang w:eastAsia="en-GB"/>
        </w:rPr>
        <w:br/>
        <w:t>Records of all safety checks and subsequent reviews will be maintained and readily accessible for audit purposes.</w:t>
      </w:r>
    </w:p>
    <w:p w14:paraId="37F5DEDB" w14:textId="356DF2FB" w:rsidR="00F30133" w:rsidRPr="007D109A" w:rsidRDefault="00F30133" w:rsidP="007D109A">
      <w:pPr>
        <w:pStyle w:val="ListParagraph"/>
        <w:numPr>
          <w:ilvl w:val="0"/>
          <w:numId w:val="21"/>
        </w:numPr>
        <w:spacing w:before="100" w:beforeAutospacing="1" w:after="100" w:afterAutospacing="1"/>
        <w:rPr>
          <w:rFonts w:ascii="Arial" w:eastAsia="Times New Roman" w:hAnsi="Arial" w:cs="Arial"/>
          <w:color w:val="000000"/>
          <w:sz w:val="22"/>
          <w:szCs w:val="22"/>
          <w:lang w:eastAsia="en-GB"/>
        </w:rPr>
      </w:pPr>
      <w:r w:rsidRPr="007D109A">
        <w:rPr>
          <w:rFonts w:ascii="Arial" w:eastAsia="Times New Roman" w:hAnsi="Arial" w:cs="Arial"/>
          <w:b/>
          <w:bCs/>
          <w:color w:val="000000"/>
          <w:sz w:val="22"/>
          <w:szCs w:val="22"/>
          <w:lang w:eastAsia="en-GB"/>
        </w:rPr>
        <w:t>Responsibility</w:t>
      </w:r>
      <w:r w:rsidRPr="007D109A">
        <w:rPr>
          <w:rFonts w:ascii="Arial" w:eastAsia="Times New Roman" w:hAnsi="Arial" w:cs="Arial"/>
          <w:color w:val="000000"/>
          <w:sz w:val="22"/>
          <w:szCs w:val="22"/>
          <w:lang w:eastAsia="en-GB"/>
        </w:rPr>
        <w:br/>
      </w:r>
      <w:r w:rsidR="00C61AA4" w:rsidRPr="007D109A">
        <w:rPr>
          <w:rFonts w:ascii="Arial" w:eastAsia="Times New Roman" w:hAnsi="Arial" w:cs="Arial"/>
          <w:color w:val="000000"/>
          <w:sz w:val="22"/>
          <w:szCs w:val="22"/>
          <w:lang w:eastAsia="en-GB"/>
        </w:rPr>
        <w:t xml:space="preserve">The Administration Manager is responsible for </w:t>
      </w:r>
      <w:r w:rsidR="00D50542" w:rsidRPr="007D109A">
        <w:rPr>
          <w:rFonts w:ascii="Arial" w:eastAsia="Times New Roman" w:hAnsi="Arial" w:cs="Arial"/>
          <w:color w:val="000000"/>
          <w:sz w:val="22"/>
          <w:szCs w:val="22"/>
          <w:lang w:eastAsia="en-GB"/>
        </w:rPr>
        <w:t>implementing, monitoring, and ensuring compliance with this Policy under the active oversight of Regional Executives and the CEO.</w:t>
      </w:r>
    </w:p>
    <w:p w14:paraId="6E73409C" w14:textId="1FF7AD42" w:rsidR="00F30133" w:rsidRPr="00014909" w:rsidRDefault="00E94697" w:rsidP="00F30133">
      <w:pPr>
        <w:spacing w:before="100" w:beforeAutospacing="1" w:after="100" w:afterAutospacing="1"/>
        <w:outlineLvl w:val="1"/>
        <w:rPr>
          <w:rFonts w:ascii="Arial" w:eastAsia="Times New Roman" w:hAnsi="Arial" w:cs="Arial"/>
          <w:b/>
          <w:bCs/>
          <w:color w:val="000000"/>
          <w:sz w:val="22"/>
          <w:szCs w:val="22"/>
          <w:lang w:eastAsia="en-GB"/>
        </w:rPr>
      </w:pPr>
      <w:r w:rsidRPr="00014909">
        <w:rPr>
          <w:rFonts w:ascii="Arial" w:eastAsia="Times New Roman" w:hAnsi="Arial" w:cs="Arial"/>
          <w:b/>
          <w:bCs/>
          <w:color w:val="000000"/>
          <w:sz w:val="22"/>
          <w:szCs w:val="22"/>
          <w:lang w:eastAsia="en-GB"/>
        </w:rPr>
        <w:t>3.</w:t>
      </w:r>
      <w:r w:rsidR="00CC62D0" w:rsidRPr="00014909">
        <w:rPr>
          <w:rFonts w:ascii="Arial" w:eastAsia="Times New Roman" w:hAnsi="Arial" w:cs="Arial"/>
          <w:b/>
          <w:bCs/>
          <w:color w:val="000000"/>
          <w:sz w:val="22"/>
          <w:szCs w:val="22"/>
          <w:lang w:eastAsia="en-GB"/>
        </w:rPr>
        <w:t xml:space="preserve"> </w:t>
      </w:r>
      <w:r w:rsidR="00F30133" w:rsidRPr="00014909">
        <w:rPr>
          <w:rFonts w:ascii="Arial" w:eastAsia="Times New Roman" w:hAnsi="Arial" w:cs="Arial"/>
          <w:b/>
          <w:bCs/>
          <w:color w:val="000000"/>
          <w:sz w:val="22"/>
          <w:szCs w:val="22"/>
          <w:lang w:eastAsia="en-GB"/>
        </w:rPr>
        <w:t>Review</w:t>
      </w:r>
    </w:p>
    <w:p w14:paraId="5682A4B2" w14:textId="77777777" w:rsidR="00F30133" w:rsidRPr="00014909" w:rsidRDefault="00F30133" w:rsidP="00F30133">
      <w:pPr>
        <w:spacing w:before="100" w:beforeAutospacing="1" w:after="100" w:afterAutospacing="1"/>
        <w:rPr>
          <w:rFonts w:ascii="Arial" w:eastAsia="Times New Roman" w:hAnsi="Arial" w:cs="Arial"/>
          <w:color w:val="000000"/>
          <w:sz w:val="22"/>
          <w:szCs w:val="22"/>
          <w:lang w:eastAsia="en-GB"/>
        </w:rPr>
      </w:pPr>
      <w:r w:rsidRPr="00014909">
        <w:rPr>
          <w:rFonts w:ascii="Arial" w:eastAsia="Times New Roman" w:hAnsi="Arial" w:cs="Arial"/>
          <w:color w:val="000000"/>
          <w:sz w:val="22"/>
          <w:szCs w:val="22"/>
          <w:lang w:eastAsia="en-GB"/>
        </w:rPr>
        <w:t>This Policy will be reviewed annually or as required by legislative or contractual changes.</w:t>
      </w:r>
    </w:p>
    <w:p w14:paraId="60D1913D" w14:textId="77777777" w:rsidR="000D53BF" w:rsidRDefault="000D53BF" w:rsidP="000D53BF">
      <w:pPr>
        <w:spacing w:after="210" w:line="360" w:lineRule="auto"/>
        <w:rPr>
          <w:rFonts w:ascii="Arial" w:eastAsia="Inter" w:hAnsi="Arial" w:cs="Arial"/>
          <w:b/>
          <w:color w:val="000000"/>
          <w:sz w:val="22"/>
          <w:szCs w:val="22"/>
        </w:rPr>
      </w:pPr>
    </w:p>
    <w:p w14:paraId="77188BC7" w14:textId="08272560" w:rsidR="000D53BF" w:rsidRPr="001E6652" w:rsidRDefault="000D53BF" w:rsidP="000D53BF">
      <w:pPr>
        <w:spacing w:after="210" w:line="360" w:lineRule="auto"/>
        <w:rPr>
          <w:rFonts w:ascii="Arial" w:eastAsia="Inter" w:hAnsi="Arial" w:cs="Arial"/>
          <w:color w:val="000000"/>
          <w:sz w:val="22"/>
          <w:szCs w:val="22"/>
        </w:rPr>
      </w:pPr>
      <w:r w:rsidRPr="001E6652">
        <w:rPr>
          <w:rFonts w:ascii="Arial" w:eastAsia="Inter" w:hAnsi="Arial" w:cs="Arial"/>
          <w:b/>
          <w:color w:val="000000"/>
          <w:sz w:val="22"/>
          <w:szCs w:val="22"/>
        </w:rPr>
        <w:t xml:space="preserve">Approved by: </w:t>
      </w:r>
      <w:r w:rsidRPr="001E6652">
        <w:rPr>
          <w:rFonts w:ascii="Arial" w:eastAsia="Inter" w:hAnsi="Arial" w:cs="Arial"/>
          <w:color w:val="000000"/>
          <w:sz w:val="22"/>
          <w:szCs w:val="22"/>
        </w:rPr>
        <w:t>Diane Gillespie Director</w:t>
      </w:r>
    </w:p>
    <w:p w14:paraId="03B7437D" w14:textId="77777777" w:rsidR="000D53BF" w:rsidRPr="001E6652" w:rsidRDefault="000D53BF" w:rsidP="000D53BF">
      <w:pPr>
        <w:spacing w:after="210" w:line="360" w:lineRule="auto"/>
        <w:rPr>
          <w:rFonts w:ascii="Arial" w:eastAsia="Times New Roman" w:hAnsi="Arial" w:cs="Arial"/>
          <w:color w:val="000000"/>
          <w:sz w:val="22"/>
          <w:szCs w:val="22"/>
          <w:lang w:eastAsia="en-GB"/>
        </w:rPr>
      </w:pPr>
      <w:r w:rsidRPr="001E6652">
        <w:rPr>
          <w:rFonts w:ascii="Arial" w:eastAsia="Inter" w:hAnsi="Arial" w:cs="Arial"/>
          <w:b/>
          <w:color w:val="000000"/>
          <w:sz w:val="22"/>
          <w:szCs w:val="22"/>
        </w:rPr>
        <w:t>Date:</w:t>
      </w:r>
      <w:r w:rsidRPr="001E6652">
        <w:rPr>
          <w:rFonts w:ascii="Arial" w:eastAsia="Inter" w:hAnsi="Arial" w:cs="Arial"/>
          <w:color w:val="000000"/>
          <w:sz w:val="22"/>
          <w:szCs w:val="22"/>
        </w:rPr>
        <w:t xml:space="preserve">  27/6/2025</w:t>
      </w:r>
    </w:p>
    <w:p w14:paraId="27EA2AC4" w14:textId="77777777" w:rsidR="00F30133" w:rsidRPr="00014909" w:rsidRDefault="00F30133" w:rsidP="00F30133">
      <w:pPr>
        <w:rPr>
          <w:rFonts w:ascii="Arial" w:eastAsia="Times New Roman" w:hAnsi="Arial" w:cs="Arial"/>
          <w:color w:val="000000"/>
          <w:sz w:val="22"/>
          <w:szCs w:val="22"/>
          <w:lang w:eastAsia="en-GB"/>
        </w:rPr>
      </w:pPr>
    </w:p>
    <w:p w14:paraId="431319DF" w14:textId="77777777" w:rsidR="00F30133" w:rsidRPr="00014909" w:rsidRDefault="00F30133" w:rsidP="00F30133">
      <w:pPr>
        <w:numPr>
          <w:ilvl w:val="0"/>
          <w:numId w:val="11"/>
        </w:numPr>
        <w:spacing w:before="100" w:beforeAutospacing="1" w:after="100" w:afterAutospacing="1"/>
        <w:rPr>
          <w:rFonts w:ascii="Arial" w:eastAsia="Times New Roman" w:hAnsi="Arial" w:cs="Arial"/>
          <w:color w:val="000000"/>
          <w:sz w:val="22"/>
          <w:szCs w:val="22"/>
          <w:lang w:eastAsia="en-GB"/>
        </w:rPr>
      </w:pPr>
      <w:hyperlink r:id="rId11" w:history="1">
        <w:r w:rsidRPr="00014909">
          <w:rPr>
            <w:rFonts w:ascii="Arial" w:eastAsia="Times New Roman" w:hAnsi="Arial" w:cs="Arial"/>
            <w:color w:val="0000FF"/>
            <w:sz w:val="22"/>
            <w:szCs w:val="22"/>
            <w:u w:val="single"/>
            <w:lang w:eastAsia="en-GB"/>
          </w:rPr>
          <w:t>https://www.tewhatuora.govt.nz/assets/Whats-happening/What-to-expect/For-the-health-workforce/Employment-relations/STONZ/Appendix-7/Appendix-7-Best-Practice-Guidelines-Home-Based-Assessments.pdf</w:t>
        </w:r>
      </w:hyperlink>
    </w:p>
    <w:p w14:paraId="4ED45D26" w14:textId="77777777" w:rsidR="00F30133" w:rsidRPr="00014909" w:rsidRDefault="00F30133" w:rsidP="00F30133">
      <w:pPr>
        <w:numPr>
          <w:ilvl w:val="0"/>
          <w:numId w:val="11"/>
        </w:numPr>
        <w:spacing w:before="100" w:beforeAutospacing="1" w:after="100" w:afterAutospacing="1"/>
        <w:rPr>
          <w:rFonts w:ascii="Arial" w:eastAsia="Times New Roman" w:hAnsi="Arial" w:cs="Arial"/>
          <w:color w:val="000000"/>
          <w:sz w:val="22"/>
          <w:szCs w:val="22"/>
          <w:lang w:eastAsia="en-GB"/>
        </w:rPr>
      </w:pPr>
      <w:hyperlink r:id="rId12" w:history="1">
        <w:r w:rsidRPr="00014909">
          <w:rPr>
            <w:rFonts w:ascii="Arial" w:eastAsia="Times New Roman" w:hAnsi="Arial" w:cs="Arial"/>
            <w:color w:val="0000FF"/>
            <w:sz w:val="22"/>
            <w:szCs w:val="22"/>
            <w:u w:val="single"/>
            <w:lang w:eastAsia="en-GB"/>
          </w:rPr>
          <w:t>https://www.health.govt.nz/system/files/2022-10/guidelines-to-the-mental-health-compulsory-assessment-and-treatment-act-1992-oct22-v2.pdf</w:t>
        </w:r>
      </w:hyperlink>
    </w:p>
    <w:p w14:paraId="44064C2D" w14:textId="77777777" w:rsidR="00F30133" w:rsidRPr="00014909" w:rsidRDefault="00F30133" w:rsidP="00F30133">
      <w:pPr>
        <w:numPr>
          <w:ilvl w:val="0"/>
          <w:numId w:val="11"/>
        </w:numPr>
        <w:spacing w:before="100" w:beforeAutospacing="1" w:after="100" w:afterAutospacing="1"/>
        <w:rPr>
          <w:rFonts w:ascii="Arial" w:eastAsia="Times New Roman" w:hAnsi="Arial" w:cs="Arial"/>
          <w:color w:val="000000"/>
          <w:sz w:val="22"/>
          <w:szCs w:val="22"/>
          <w:lang w:eastAsia="en-GB"/>
        </w:rPr>
      </w:pPr>
      <w:hyperlink r:id="rId13" w:history="1">
        <w:r w:rsidRPr="00014909">
          <w:rPr>
            <w:rFonts w:ascii="Arial" w:eastAsia="Times New Roman" w:hAnsi="Arial" w:cs="Arial"/>
            <w:color w:val="0000FF"/>
            <w:sz w:val="22"/>
            <w:szCs w:val="22"/>
            <w:u w:val="single"/>
            <w:lang w:eastAsia="en-GB"/>
          </w:rPr>
          <w:t>https://www.tewhatuora.govt.nz/for-health-professionals/health-workforce-development/health-workforce-initiatives/childrens-worker-safety-checking-and-child-protection-policies</w:t>
        </w:r>
      </w:hyperlink>
    </w:p>
    <w:p w14:paraId="40A53E3A" w14:textId="77777777" w:rsidR="00F30133" w:rsidRPr="00014909" w:rsidRDefault="00F30133" w:rsidP="00F30133">
      <w:pPr>
        <w:numPr>
          <w:ilvl w:val="0"/>
          <w:numId w:val="11"/>
        </w:numPr>
        <w:spacing w:before="100" w:beforeAutospacing="1" w:after="100" w:afterAutospacing="1"/>
        <w:rPr>
          <w:rFonts w:ascii="Arial" w:eastAsia="Times New Roman" w:hAnsi="Arial" w:cs="Arial"/>
          <w:color w:val="000000"/>
          <w:sz w:val="22"/>
          <w:szCs w:val="22"/>
          <w:lang w:eastAsia="en-GB"/>
        </w:rPr>
      </w:pPr>
      <w:hyperlink r:id="rId14" w:history="1">
        <w:r w:rsidRPr="00014909">
          <w:rPr>
            <w:rFonts w:ascii="Arial" w:eastAsia="Times New Roman" w:hAnsi="Arial" w:cs="Arial"/>
            <w:color w:val="0000FF"/>
            <w:sz w:val="22"/>
            <w:szCs w:val="22"/>
            <w:u w:val="single"/>
            <w:lang w:eastAsia="en-GB"/>
          </w:rPr>
          <w:t>https://wpb.business.govt.nz/workplacepolicybuilder/healthAndWellbeing/mentalWellbeing</w:t>
        </w:r>
      </w:hyperlink>
    </w:p>
    <w:p w14:paraId="1E5115C8" w14:textId="77777777" w:rsidR="00F30133" w:rsidRPr="00014909" w:rsidRDefault="00F30133" w:rsidP="00F30133">
      <w:pPr>
        <w:numPr>
          <w:ilvl w:val="0"/>
          <w:numId w:val="11"/>
        </w:numPr>
        <w:spacing w:before="100" w:beforeAutospacing="1" w:after="100" w:afterAutospacing="1"/>
        <w:rPr>
          <w:rFonts w:ascii="Arial" w:eastAsia="Times New Roman" w:hAnsi="Arial" w:cs="Arial"/>
          <w:color w:val="000000"/>
          <w:sz w:val="22"/>
          <w:szCs w:val="22"/>
          <w:lang w:eastAsia="en-GB"/>
        </w:rPr>
      </w:pPr>
      <w:hyperlink r:id="rId15" w:history="1">
        <w:r w:rsidRPr="00014909">
          <w:rPr>
            <w:rFonts w:ascii="Arial" w:eastAsia="Times New Roman" w:hAnsi="Arial" w:cs="Arial"/>
            <w:color w:val="0000FF"/>
            <w:sz w:val="22"/>
            <w:szCs w:val="22"/>
            <w:u w:val="single"/>
            <w:lang w:eastAsia="en-GB"/>
          </w:rPr>
          <w:t>https://www.worksafe.govt.nz/topic-and-industry/work-related-health/mental-health/</w:t>
        </w:r>
      </w:hyperlink>
    </w:p>
    <w:p w14:paraId="27BD63E9" w14:textId="77777777" w:rsidR="00F30133" w:rsidRPr="00014909" w:rsidRDefault="00F30133" w:rsidP="00F30133">
      <w:pPr>
        <w:numPr>
          <w:ilvl w:val="0"/>
          <w:numId w:val="11"/>
        </w:numPr>
        <w:spacing w:before="100" w:beforeAutospacing="1" w:after="100" w:afterAutospacing="1"/>
        <w:rPr>
          <w:rFonts w:ascii="Arial" w:eastAsia="Times New Roman" w:hAnsi="Arial" w:cs="Arial"/>
          <w:color w:val="000000"/>
          <w:sz w:val="22"/>
          <w:szCs w:val="22"/>
          <w:lang w:eastAsia="en-GB"/>
        </w:rPr>
      </w:pPr>
      <w:hyperlink r:id="rId16" w:history="1">
        <w:r w:rsidRPr="00014909">
          <w:rPr>
            <w:rFonts w:ascii="Arial" w:eastAsia="Times New Roman" w:hAnsi="Arial" w:cs="Arial"/>
            <w:color w:val="0000FF"/>
            <w:sz w:val="22"/>
            <w:szCs w:val="22"/>
            <w:u w:val="single"/>
            <w:lang w:eastAsia="en-GB"/>
          </w:rPr>
          <w:t>https://www.healthandsafety.govt.nz/assets/Uploads/Creating-mentally-healthy-work-and-workplaces.pdf</w:t>
        </w:r>
      </w:hyperlink>
    </w:p>
    <w:p w14:paraId="27AEBBB6" w14:textId="77777777" w:rsidR="00F30133" w:rsidRPr="00014909" w:rsidRDefault="00F30133" w:rsidP="00F30133">
      <w:pPr>
        <w:numPr>
          <w:ilvl w:val="0"/>
          <w:numId w:val="11"/>
        </w:numPr>
        <w:spacing w:before="100" w:beforeAutospacing="1" w:after="100" w:afterAutospacing="1"/>
        <w:rPr>
          <w:rFonts w:ascii="Arial" w:eastAsia="Times New Roman" w:hAnsi="Arial" w:cs="Arial"/>
          <w:color w:val="000000"/>
          <w:sz w:val="22"/>
          <w:szCs w:val="22"/>
          <w:lang w:eastAsia="en-GB"/>
        </w:rPr>
      </w:pPr>
      <w:hyperlink r:id="rId17" w:history="1">
        <w:r w:rsidRPr="00014909">
          <w:rPr>
            <w:rFonts w:ascii="Arial" w:eastAsia="Times New Roman" w:hAnsi="Arial" w:cs="Arial"/>
            <w:color w:val="0000FF"/>
            <w:sz w:val="22"/>
            <w:szCs w:val="22"/>
            <w:u w:val="single"/>
            <w:lang w:eastAsia="en-GB"/>
          </w:rPr>
          <w:t>https://mentalhealth.org.nz/resources/resource/personal-safety-plan</w:t>
        </w:r>
      </w:hyperlink>
    </w:p>
    <w:p w14:paraId="7563F554" w14:textId="77777777" w:rsidR="00F30133" w:rsidRPr="00014909" w:rsidRDefault="00F30133" w:rsidP="00F30133">
      <w:pPr>
        <w:numPr>
          <w:ilvl w:val="0"/>
          <w:numId w:val="11"/>
        </w:numPr>
        <w:spacing w:before="100" w:beforeAutospacing="1" w:after="100" w:afterAutospacing="1"/>
        <w:rPr>
          <w:rFonts w:ascii="Arial" w:eastAsia="Times New Roman" w:hAnsi="Arial" w:cs="Arial"/>
          <w:color w:val="000000"/>
          <w:sz w:val="22"/>
          <w:szCs w:val="22"/>
          <w:lang w:eastAsia="en-GB"/>
        </w:rPr>
      </w:pPr>
      <w:hyperlink r:id="rId18" w:history="1">
        <w:r w:rsidRPr="00014909">
          <w:rPr>
            <w:rFonts w:ascii="Arial" w:eastAsia="Times New Roman" w:hAnsi="Arial" w:cs="Arial"/>
            <w:color w:val="0000FF"/>
            <w:sz w:val="22"/>
            <w:szCs w:val="22"/>
            <w:u w:val="single"/>
            <w:lang w:eastAsia="en-GB"/>
          </w:rPr>
          <w:t>https://www.worksafe.govt.nz/laws-and-regulations/operational-policy-framework/worksafe-positions/supporting-mentally-healthy-work/</w:t>
        </w:r>
      </w:hyperlink>
    </w:p>
    <w:p w14:paraId="41DD3B13" w14:textId="77D155A5" w:rsidR="00F30133" w:rsidRPr="00014909" w:rsidRDefault="00F30133" w:rsidP="00F1411D">
      <w:pPr>
        <w:numPr>
          <w:ilvl w:val="0"/>
          <w:numId w:val="11"/>
        </w:numPr>
        <w:spacing w:before="100" w:beforeAutospacing="1" w:after="100" w:afterAutospacing="1"/>
        <w:rPr>
          <w:rFonts w:ascii="Arial" w:hAnsi="Arial" w:cs="Arial"/>
          <w:sz w:val="22"/>
          <w:szCs w:val="22"/>
        </w:rPr>
      </w:pPr>
      <w:hyperlink r:id="rId19" w:history="1">
        <w:r w:rsidRPr="00014909">
          <w:rPr>
            <w:rFonts w:ascii="Arial" w:eastAsia="Times New Roman" w:hAnsi="Arial" w:cs="Arial"/>
            <w:color w:val="0000FF"/>
            <w:sz w:val="22"/>
            <w:szCs w:val="22"/>
            <w:u w:val="single"/>
            <w:lang w:eastAsia="en-GB"/>
          </w:rPr>
          <w:t>https://www.health.govt.nz/regulation-legislation/mental-health-and-addiction/mental-health-act/guidelines-and-resources</w:t>
        </w:r>
      </w:hyperlink>
    </w:p>
    <w:sectPr w:rsidR="00F30133" w:rsidRPr="0001490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5530F" w14:textId="77777777" w:rsidR="00647AB0" w:rsidRDefault="00647AB0" w:rsidP="00E61C81">
      <w:r>
        <w:separator/>
      </w:r>
    </w:p>
  </w:endnote>
  <w:endnote w:type="continuationSeparator" w:id="0">
    <w:p w14:paraId="1DA68F19" w14:textId="77777777" w:rsidR="00647AB0" w:rsidRDefault="00647AB0" w:rsidP="00E6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zon">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ter">
    <w:altName w:val="Cambria"/>
    <w:charset w:val="00"/>
    <w:family w:val="swiss"/>
    <w:pitch w:val="variable"/>
    <w:sig w:usb0="E00002FF" w:usb1="1200A1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313504"/>
      <w:docPartObj>
        <w:docPartGallery w:val="Page Numbers (Bottom of Page)"/>
        <w:docPartUnique/>
      </w:docPartObj>
    </w:sdtPr>
    <w:sdtEndPr/>
    <w:sdtContent>
      <w:sdt>
        <w:sdtPr>
          <w:id w:val="-1769616900"/>
          <w:docPartObj>
            <w:docPartGallery w:val="Page Numbers (Top of Page)"/>
            <w:docPartUnique/>
          </w:docPartObj>
        </w:sdtPr>
        <w:sdtEndPr/>
        <w:sdtContent>
          <w:p w14:paraId="72889DB0" w14:textId="6348156F" w:rsidR="007F7EE9" w:rsidRDefault="007F7EE9">
            <w:pPr>
              <w:pStyle w:val="Footer"/>
              <w:jc w:val="right"/>
            </w:pPr>
            <w:r w:rsidRPr="00014909">
              <w:rPr>
                <w:rFonts w:ascii="Arial" w:hAnsi="Arial" w:cs="Arial"/>
              </w:rPr>
              <w:t xml:space="preserve">Page </w:t>
            </w:r>
            <w:r w:rsidRPr="00014909">
              <w:rPr>
                <w:rFonts w:ascii="Arial" w:hAnsi="Arial" w:cs="Arial"/>
                <w:b/>
                <w:bCs/>
              </w:rPr>
              <w:fldChar w:fldCharType="begin"/>
            </w:r>
            <w:r w:rsidRPr="00014909">
              <w:rPr>
                <w:rFonts w:ascii="Arial" w:hAnsi="Arial" w:cs="Arial"/>
                <w:b/>
                <w:bCs/>
              </w:rPr>
              <w:instrText xml:space="preserve"> PAGE </w:instrText>
            </w:r>
            <w:r w:rsidRPr="00014909">
              <w:rPr>
                <w:rFonts w:ascii="Arial" w:hAnsi="Arial" w:cs="Arial"/>
                <w:b/>
                <w:bCs/>
              </w:rPr>
              <w:fldChar w:fldCharType="separate"/>
            </w:r>
            <w:r w:rsidRPr="00014909">
              <w:rPr>
                <w:rFonts w:ascii="Arial" w:hAnsi="Arial" w:cs="Arial"/>
                <w:b/>
                <w:bCs/>
                <w:noProof/>
              </w:rPr>
              <w:t>2</w:t>
            </w:r>
            <w:r w:rsidRPr="00014909">
              <w:rPr>
                <w:rFonts w:ascii="Arial" w:hAnsi="Arial" w:cs="Arial"/>
                <w:b/>
                <w:bCs/>
              </w:rPr>
              <w:fldChar w:fldCharType="end"/>
            </w:r>
            <w:r w:rsidRPr="00014909">
              <w:rPr>
                <w:rFonts w:ascii="Arial" w:hAnsi="Arial" w:cs="Arial"/>
              </w:rPr>
              <w:t xml:space="preserve"> of </w:t>
            </w:r>
            <w:r w:rsidRPr="00014909">
              <w:rPr>
                <w:rFonts w:ascii="Arial" w:hAnsi="Arial" w:cs="Arial"/>
                <w:b/>
                <w:bCs/>
              </w:rPr>
              <w:fldChar w:fldCharType="begin"/>
            </w:r>
            <w:r w:rsidRPr="00014909">
              <w:rPr>
                <w:rFonts w:ascii="Arial" w:hAnsi="Arial" w:cs="Arial"/>
                <w:b/>
                <w:bCs/>
              </w:rPr>
              <w:instrText xml:space="preserve"> NUMPAGES  </w:instrText>
            </w:r>
            <w:r w:rsidRPr="00014909">
              <w:rPr>
                <w:rFonts w:ascii="Arial" w:hAnsi="Arial" w:cs="Arial"/>
                <w:b/>
                <w:bCs/>
              </w:rPr>
              <w:fldChar w:fldCharType="separate"/>
            </w:r>
            <w:r w:rsidRPr="00014909">
              <w:rPr>
                <w:rFonts w:ascii="Arial" w:hAnsi="Arial" w:cs="Arial"/>
                <w:b/>
                <w:bCs/>
                <w:noProof/>
              </w:rPr>
              <w:t>2</w:t>
            </w:r>
            <w:r w:rsidRPr="00014909">
              <w:rPr>
                <w:rFonts w:ascii="Arial" w:hAnsi="Arial" w:cs="Arial"/>
                <w:b/>
                <w:bCs/>
              </w:rPr>
              <w:fldChar w:fldCharType="end"/>
            </w:r>
          </w:p>
        </w:sdtContent>
      </w:sdt>
    </w:sdtContent>
  </w:sdt>
  <w:tbl>
    <w:tblPr>
      <w:tblW w:w="5543" w:type="dxa"/>
      <w:tblInd w:w="1731" w:type="dxa"/>
      <w:shd w:val="clear" w:color="auto" w:fill="E0E0E0"/>
      <w:tblLook w:val="04A0" w:firstRow="1" w:lastRow="0" w:firstColumn="1" w:lastColumn="0" w:noHBand="0" w:noVBand="1"/>
    </w:tblPr>
    <w:tblGrid>
      <w:gridCol w:w="1702"/>
      <w:gridCol w:w="1163"/>
      <w:gridCol w:w="1402"/>
      <w:gridCol w:w="1276"/>
    </w:tblGrid>
    <w:tr w:rsidR="007F7EE9" w:rsidRPr="00B838E0" w14:paraId="64D2677F" w14:textId="77777777" w:rsidTr="00516E6B">
      <w:tc>
        <w:tcPr>
          <w:tcW w:w="1702" w:type="dxa"/>
          <w:tcBorders>
            <w:top w:val="single" w:sz="8" w:space="0" w:color="auto"/>
            <w:left w:val="single" w:sz="8" w:space="0" w:color="auto"/>
            <w:bottom w:val="single" w:sz="8" w:space="0" w:color="auto"/>
            <w:right w:val="nil"/>
          </w:tcBorders>
          <w:shd w:val="clear" w:color="auto" w:fill="E0E0E0"/>
          <w:hideMark/>
        </w:tcPr>
        <w:p w14:paraId="4FBC9FD8" w14:textId="77777777" w:rsidR="007F7EE9" w:rsidRPr="00B838E0" w:rsidRDefault="007F7EE9" w:rsidP="007F7EE9">
          <w:pPr>
            <w:pStyle w:val="Footer"/>
            <w:rPr>
              <w:sz w:val="16"/>
              <w:szCs w:val="16"/>
            </w:rPr>
          </w:pPr>
          <w:r w:rsidRPr="00B838E0">
            <w:rPr>
              <w:sz w:val="16"/>
              <w:szCs w:val="16"/>
              <w:lang w:val="en-US"/>
            </w:rPr>
            <w:t>Number </w:t>
          </w:r>
        </w:p>
      </w:tc>
      <w:tc>
        <w:tcPr>
          <w:tcW w:w="1163" w:type="dxa"/>
          <w:tcBorders>
            <w:top w:val="single" w:sz="8" w:space="0" w:color="auto"/>
            <w:left w:val="nil"/>
            <w:bottom w:val="single" w:sz="8" w:space="0" w:color="auto"/>
            <w:right w:val="single" w:sz="8" w:space="0" w:color="auto"/>
          </w:tcBorders>
          <w:shd w:val="clear" w:color="auto" w:fill="E0E0E0"/>
          <w:hideMark/>
        </w:tcPr>
        <w:p w14:paraId="124CFF82" w14:textId="77777777" w:rsidR="007F7EE9" w:rsidRPr="00B838E0" w:rsidRDefault="007F7EE9" w:rsidP="007F7EE9">
          <w:pPr>
            <w:pStyle w:val="Footer"/>
            <w:rPr>
              <w:sz w:val="16"/>
              <w:szCs w:val="16"/>
            </w:rPr>
          </w:pPr>
          <w:r>
            <w:rPr>
              <w:sz w:val="16"/>
              <w:szCs w:val="16"/>
              <w:lang w:val="en-US"/>
            </w:rPr>
            <w:t>TBA</w:t>
          </w:r>
        </w:p>
      </w:tc>
      <w:tc>
        <w:tcPr>
          <w:tcW w:w="1402" w:type="dxa"/>
          <w:tcBorders>
            <w:top w:val="single" w:sz="8" w:space="0" w:color="auto"/>
            <w:left w:val="nil"/>
            <w:bottom w:val="single" w:sz="8" w:space="0" w:color="auto"/>
            <w:right w:val="nil"/>
          </w:tcBorders>
          <w:shd w:val="clear" w:color="auto" w:fill="E0E0E0"/>
          <w:hideMark/>
        </w:tcPr>
        <w:p w14:paraId="2EF2D021" w14:textId="77777777" w:rsidR="007F7EE9" w:rsidRPr="00B838E0" w:rsidRDefault="007F7EE9" w:rsidP="007F7EE9">
          <w:pPr>
            <w:pStyle w:val="Footer"/>
            <w:rPr>
              <w:sz w:val="16"/>
              <w:szCs w:val="16"/>
            </w:rPr>
          </w:pPr>
          <w:r w:rsidRPr="00B838E0">
            <w:rPr>
              <w:sz w:val="16"/>
              <w:szCs w:val="16"/>
              <w:lang w:val="en-US"/>
            </w:rPr>
            <w:t xml:space="preserve">Approved by </w:t>
          </w:r>
        </w:p>
      </w:tc>
      <w:tc>
        <w:tcPr>
          <w:tcW w:w="1276" w:type="dxa"/>
          <w:tcBorders>
            <w:top w:val="single" w:sz="8" w:space="0" w:color="auto"/>
            <w:left w:val="nil"/>
            <w:bottom w:val="single" w:sz="8" w:space="0" w:color="auto"/>
            <w:right w:val="single" w:sz="8" w:space="0" w:color="auto"/>
          </w:tcBorders>
          <w:shd w:val="clear" w:color="auto" w:fill="E0E0E0"/>
          <w:hideMark/>
        </w:tcPr>
        <w:p w14:paraId="34275AC8" w14:textId="23F18941" w:rsidR="007F7EE9" w:rsidRPr="00B838E0" w:rsidRDefault="007F7EE9" w:rsidP="007F7EE9">
          <w:pPr>
            <w:pStyle w:val="Footer"/>
            <w:rPr>
              <w:sz w:val="16"/>
              <w:szCs w:val="16"/>
            </w:rPr>
          </w:pPr>
          <w:r w:rsidRPr="00B838E0">
            <w:rPr>
              <w:sz w:val="16"/>
              <w:szCs w:val="16"/>
              <w:lang w:val="en-US"/>
            </w:rPr>
            <w:t> </w:t>
          </w:r>
          <w:proofErr w:type="spellStart"/>
          <w:r w:rsidR="00014909">
            <w:rPr>
              <w:sz w:val="16"/>
              <w:szCs w:val="16"/>
              <w:lang w:val="en-US"/>
            </w:rPr>
            <w:t>LvR</w:t>
          </w:r>
          <w:proofErr w:type="spellEnd"/>
        </w:p>
      </w:tc>
    </w:tr>
    <w:tr w:rsidR="007F7EE9" w:rsidRPr="00B838E0" w14:paraId="04D591B9" w14:textId="77777777" w:rsidTr="00516E6B">
      <w:tc>
        <w:tcPr>
          <w:tcW w:w="1702" w:type="dxa"/>
          <w:tcBorders>
            <w:top w:val="nil"/>
            <w:left w:val="single" w:sz="8" w:space="0" w:color="auto"/>
            <w:bottom w:val="single" w:sz="8" w:space="0" w:color="auto"/>
            <w:right w:val="nil"/>
          </w:tcBorders>
          <w:shd w:val="clear" w:color="auto" w:fill="E0E0E0"/>
          <w:hideMark/>
        </w:tcPr>
        <w:p w14:paraId="76D95FDB" w14:textId="77777777" w:rsidR="007F7EE9" w:rsidRPr="00B838E0" w:rsidRDefault="007F7EE9" w:rsidP="007F7EE9">
          <w:pPr>
            <w:pStyle w:val="Footer"/>
            <w:rPr>
              <w:sz w:val="16"/>
              <w:szCs w:val="16"/>
            </w:rPr>
          </w:pPr>
          <w:r w:rsidRPr="00B838E0">
            <w:rPr>
              <w:sz w:val="16"/>
              <w:szCs w:val="16"/>
              <w:lang w:val="en-US"/>
            </w:rPr>
            <w:t>Version </w:t>
          </w:r>
        </w:p>
      </w:tc>
      <w:tc>
        <w:tcPr>
          <w:tcW w:w="1163" w:type="dxa"/>
          <w:tcBorders>
            <w:top w:val="nil"/>
            <w:left w:val="nil"/>
            <w:bottom w:val="single" w:sz="8" w:space="0" w:color="auto"/>
            <w:right w:val="single" w:sz="8" w:space="0" w:color="auto"/>
          </w:tcBorders>
          <w:shd w:val="clear" w:color="auto" w:fill="E0E0E0"/>
          <w:hideMark/>
        </w:tcPr>
        <w:p w14:paraId="0C3F43E8" w14:textId="77777777" w:rsidR="007F7EE9" w:rsidRPr="00B838E0" w:rsidRDefault="007F7EE9" w:rsidP="007F7EE9">
          <w:pPr>
            <w:pStyle w:val="Footer"/>
            <w:rPr>
              <w:sz w:val="16"/>
              <w:szCs w:val="16"/>
            </w:rPr>
          </w:pPr>
          <w:r w:rsidRPr="00B838E0">
            <w:rPr>
              <w:sz w:val="16"/>
              <w:szCs w:val="16"/>
              <w:lang w:val="en-US"/>
            </w:rPr>
            <w:t>Version 1 </w:t>
          </w:r>
        </w:p>
      </w:tc>
      <w:tc>
        <w:tcPr>
          <w:tcW w:w="1402" w:type="dxa"/>
          <w:tcBorders>
            <w:top w:val="nil"/>
            <w:left w:val="nil"/>
            <w:bottom w:val="single" w:sz="8" w:space="0" w:color="auto"/>
            <w:right w:val="nil"/>
          </w:tcBorders>
          <w:shd w:val="clear" w:color="auto" w:fill="E0E0E0"/>
          <w:hideMark/>
        </w:tcPr>
        <w:p w14:paraId="721CCBC2" w14:textId="77777777" w:rsidR="007F7EE9" w:rsidRPr="00B838E0" w:rsidRDefault="007F7EE9" w:rsidP="007F7EE9">
          <w:pPr>
            <w:pStyle w:val="Footer"/>
            <w:rPr>
              <w:sz w:val="16"/>
              <w:szCs w:val="16"/>
            </w:rPr>
          </w:pPr>
          <w:r w:rsidRPr="00B838E0">
            <w:rPr>
              <w:sz w:val="16"/>
              <w:szCs w:val="16"/>
              <w:lang w:val="en-US"/>
            </w:rPr>
            <w:t>Scheduled review </w:t>
          </w:r>
        </w:p>
      </w:tc>
      <w:tc>
        <w:tcPr>
          <w:tcW w:w="1276" w:type="dxa"/>
          <w:tcBorders>
            <w:top w:val="nil"/>
            <w:left w:val="nil"/>
            <w:bottom w:val="single" w:sz="8" w:space="0" w:color="auto"/>
            <w:right w:val="single" w:sz="8" w:space="0" w:color="auto"/>
          </w:tcBorders>
          <w:shd w:val="clear" w:color="auto" w:fill="E0E0E0"/>
          <w:hideMark/>
        </w:tcPr>
        <w:p w14:paraId="55C1BF52" w14:textId="12489060" w:rsidR="007F7EE9" w:rsidRPr="00B838E0" w:rsidRDefault="007F7EE9" w:rsidP="007F7EE9">
          <w:pPr>
            <w:pStyle w:val="Footer"/>
            <w:rPr>
              <w:sz w:val="16"/>
              <w:szCs w:val="16"/>
            </w:rPr>
          </w:pPr>
          <w:r>
            <w:rPr>
              <w:sz w:val="16"/>
              <w:szCs w:val="16"/>
              <w:lang w:val="en-US"/>
            </w:rPr>
            <w:t>Sept 2026</w:t>
          </w:r>
          <w:r w:rsidRPr="00B838E0">
            <w:rPr>
              <w:sz w:val="16"/>
              <w:szCs w:val="16"/>
              <w:lang w:val="en-US"/>
            </w:rPr>
            <w:t> </w:t>
          </w:r>
        </w:p>
      </w:tc>
    </w:tr>
    <w:tr w:rsidR="007F7EE9" w:rsidRPr="00B838E0" w14:paraId="63748235" w14:textId="77777777" w:rsidTr="00516E6B">
      <w:tc>
        <w:tcPr>
          <w:tcW w:w="1702" w:type="dxa"/>
          <w:tcBorders>
            <w:top w:val="nil"/>
            <w:left w:val="single" w:sz="8" w:space="0" w:color="auto"/>
            <w:bottom w:val="single" w:sz="8" w:space="0" w:color="auto"/>
            <w:right w:val="nil"/>
          </w:tcBorders>
          <w:shd w:val="clear" w:color="auto" w:fill="E0E0E0"/>
          <w:hideMark/>
        </w:tcPr>
        <w:p w14:paraId="10440D06" w14:textId="77777777" w:rsidR="007F7EE9" w:rsidRPr="00B838E0" w:rsidRDefault="007F7EE9" w:rsidP="007F7EE9">
          <w:pPr>
            <w:pStyle w:val="Footer"/>
            <w:rPr>
              <w:sz w:val="16"/>
              <w:szCs w:val="16"/>
            </w:rPr>
          </w:pPr>
          <w:r w:rsidRPr="00B838E0">
            <w:rPr>
              <w:sz w:val="16"/>
              <w:szCs w:val="16"/>
              <w:lang w:val="en-US"/>
            </w:rPr>
            <w:t>Responsible  </w:t>
          </w:r>
        </w:p>
      </w:tc>
      <w:tc>
        <w:tcPr>
          <w:tcW w:w="1163" w:type="dxa"/>
          <w:tcBorders>
            <w:top w:val="nil"/>
            <w:left w:val="nil"/>
            <w:bottom w:val="single" w:sz="8" w:space="0" w:color="auto"/>
            <w:right w:val="single" w:sz="8" w:space="0" w:color="auto"/>
          </w:tcBorders>
          <w:shd w:val="clear" w:color="auto" w:fill="E0E0E0"/>
          <w:hideMark/>
        </w:tcPr>
        <w:p w14:paraId="1DB4561B" w14:textId="77CDC4F9" w:rsidR="007F7EE9" w:rsidRPr="00B838E0" w:rsidRDefault="00014909" w:rsidP="007F7EE9">
          <w:pPr>
            <w:pStyle w:val="Footer"/>
            <w:rPr>
              <w:sz w:val="16"/>
              <w:szCs w:val="16"/>
            </w:rPr>
          </w:pPr>
          <w:r>
            <w:rPr>
              <w:sz w:val="16"/>
              <w:szCs w:val="16"/>
            </w:rPr>
            <w:t>LvR</w:t>
          </w:r>
        </w:p>
      </w:tc>
      <w:tc>
        <w:tcPr>
          <w:tcW w:w="1402" w:type="dxa"/>
          <w:tcBorders>
            <w:top w:val="nil"/>
            <w:left w:val="nil"/>
            <w:bottom w:val="single" w:sz="8" w:space="0" w:color="auto"/>
            <w:right w:val="nil"/>
          </w:tcBorders>
          <w:shd w:val="clear" w:color="auto" w:fill="E0E0E0"/>
          <w:hideMark/>
        </w:tcPr>
        <w:p w14:paraId="2A5802C1" w14:textId="77777777" w:rsidR="007F7EE9" w:rsidRPr="00B838E0" w:rsidRDefault="007F7EE9" w:rsidP="007F7EE9">
          <w:pPr>
            <w:pStyle w:val="Footer"/>
            <w:rPr>
              <w:sz w:val="16"/>
              <w:szCs w:val="16"/>
            </w:rPr>
          </w:pPr>
          <w:r w:rsidRPr="00B838E0">
            <w:rPr>
              <w:sz w:val="16"/>
              <w:szCs w:val="16"/>
              <w:lang w:val="en-US"/>
            </w:rPr>
            <w:t> </w:t>
          </w:r>
          <w:r>
            <w:rPr>
              <w:sz w:val="16"/>
              <w:szCs w:val="16"/>
              <w:lang w:val="en-US"/>
            </w:rPr>
            <w:t>Reviewed by</w:t>
          </w:r>
        </w:p>
      </w:tc>
      <w:tc>
        <w:tcPr>
          <w:tcW w:w="1276" w:type="dxa"/>
          <w:tcBorders>
            <w:top w:val="nil"/>
            <w:left w:val="nil"/>
            <w:bottom w:val="single" w:sz="8" w:space="0" w:color="auto"/>
            <w:right w:val="single" w:sz="8" w:space="0" w:color="auto"/>
          </w:tcBorders>
          <w:shd w:val="clear" w:color="auto" w:fill="E0E0E0"/>
          <w:hideMark/>
        </w:tcPr>
        <w:p w14:paraId="0D6E81C1" w14:textId="77777777" w:rsidR="007F7EE9" w:rsidRPr="00B838E0" w:rsidRDefault="007F7EE9" w:rsidP="007F7EE9">
          <w:pPr>
            <w:pStyle w:val="Footer"/>
            <w:rPr>
              <w:sz w:val="16"/>
              <w:szCs w:val="16"/>
            </w:rPr>
          </w:pPr>
          <w:r>
            <w:rPr>
              <w:sz w:val="16"/>
              <w:szCs w:val="16"/>
              <w:lang w:val="en-US"/>
            </w:rPr>
            <w:t>BK (Ext)</w:t>
          </w:r>
        </w:p>
      </w:tc>
    </w:tr>
  </w:tbl>
  <w:p w14:paraId="255DFA4E" w14:textId="77777777" w:rsidR="00E61C81" w:rsidRDefault="00E61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DB631" w14:textId="77777777" w:rsidR="00647AB0" w:rsidRDefault="00647AB0" w:rsidP="00E61C81">
      <w:r>
        <w:separator/>
      </w:r>
    </w:p>
  </w:footnote>
  <w:footnote w:type="continuationSeparator" w:id="0">
    <w:p w14:paraId="122AFB2C" w14:textId="77777777" w:rsidR="00647AB0" w:rsidRDefault="00647AB0" w:rsidP="00E61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7E5"/>
    <w:multiLevelType w:val="multilevel"/>
    <w:tmpl w:val="A88C9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2A7EE4"/>
    <w:multiLevelType w:val="multilevel"/>
    <w:tmpl w:val="9D429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366F3"/>
    <w:multiLevelType w:val="multilevel"/>
    <w:tmpl w:val="9A5A0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3C68E7"/>
    <w:multiLevelType w:val="multilevel"/>
    <w:tmpl w:val="4A505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F66FE7"/>
    <w:multiLevelType w:val="multilevel"/>
    <w:tmpl w:val="80D4D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37F51"/>
    <w:multiLevelType w:val="multilevel"/>
    <w:tmpl w:val="18F86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22F63"/>
    <w:multiLevelType w:val="hybridMultilevel"/>
    <w:tmpl w:val="5C20BE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E0E3ED1"/>
    <w:multiLevelType w:val="multilevel"/>
    <w:tmpl w:val="27427AF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D6BE8"/>
    <w:multiLevelType w:val="multilevel"/>
    <w:tmpl w:val="FFC6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93FFE"/>
    <w:multiLevelType w:val="multilevel"/>
    <w:tmpl w:val="6582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06A4C"/>
    <w:multiLevelType w:val="multilevel"/>
    <w:tmpl w:val="445A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5C7E79"/>
    <w:multiLevelType w:val="multilevel"/>
    <w:tmpl w:val="591864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3B25AB"/>
    <w:multiLevelType w:val="multilevel"/>
    <w:tmpl w:val="9134D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837A77"/>
    <w:multiLevelType w:val="multilevel"/>
    <w:tmpl w:val="F74A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367C7F"/>
    <w:multiLevelType w:val="multilevel"/>
    <w:tmpl w:val="BB228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B868E5"/>
    <w:multiLevelType w:val="multilevel"/>
    <w:tmpl w:val="1F28C2EC"/>
    <w:lvl w:ilvl="0">
      <w:start w:val="1"/>
      <w:numFmt w:val="decimal"/>
      <w:lvlText w:val="%1."/>
      <w:lvlJc w:val="left"/>
      <w:pPr>
        <w:tabs>
          <w:tab w:val="num" w:pos="720"/>
        </w:tabs>
        <w:ind w:left="720" w:hanging="360"/>
      </w:pPr>
      <w:rPr>
        <w:rFonts w:ascii="Bozon" w:hAnsi="Bozon" w:hint="default"/>
        <w:sz w:val="24"/>
        <w:szCs w:val="24"/>
      </w:rPr>
    </w:lvl>
    <w:lvl w:ilvl="1">
      <w:start w:val="1"/>
      <w:numFmt w:val="bullet"/>
      <w:lvlText w:val=""/>
      <w:lvlJc w:val="left"/>
      <w:pPr>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08268E"/>
    <w:multiLevelType w:val="multilevel"/>
    <w:tmpl w:val="D584DD7A"/>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ind w:left="1080" w:hanging="360"/>
      </w:pPr>
      <w:rPr>
        <w:rFonts w:ascii="Courier New" w:hAnsi="Courier New" w:cs="Courier New"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5E3C7495"/>
    <w:multiLevelType w:val="multilevel"/>
    <w:tmpl w:val="3C12FD84"/>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63F171DA"/>
    <w:multiLevelType w:val="multilevel"/>
    <w:tmpl w:val="FE0E2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C80171"/>
    <w:multiLevelType w:val="multilevel"/>
    <w:tmpl w:val="F9C0D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B34F2A"/>
    <w:multiLevelType w:val="multilevel"/>
    <w:tmpl w:val="9BF2F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6318165">
    <w:abstractNumId w:val="15"/>
  </w:num>
  <w:num w:numId="2" w16cid:durableId="344675088">
    <w:abstractNumId w:val="10"/>
  </w:num>
  <w:num w:numId="3" w16cid:durableId="1617447945">
    <w:abstractNumId w:val="20"/>
  </w:num>
  <w:num w:numId="4" w16cid:durableId="176425184">
    <w:abstractNumId w:val="1"/>
  </w:num>
  <w:num w:numId="5" w16cid:durableId="651057810">
    <w:abstractNumId w:val="9"/>
  </w:num>
  <w:num w:numId="6" w16cid:durableId="604001300">
    <w:abstractNumId w:val="14"/>
  </w:num>
  <w:num w:numId="7" w16cid:durableId="1626083585">
    <w:abstractNumId w:val="4"/>
  </w:num>
  <w:num w:numId="8" w16cid:durableId="956327618">
    <w:abstractNumId w:val="11"/>
  </w:num>
  <w:num w:numId="9" w16cid:durableId="1633751418">
    <w:abstractNumId w:val="13"/>
  </w:num>
  <w:num w:numId="10" w16cid:durableId="1372028463">
    <w:abstractNumId w:val="18"/>
  </w:num>
  <w:num w:numId="11" w16cid:durableId="816805499">
    <w:abstractNumId w:val="5"/>
  </w:num>
  <w:num w:numId="12" w16cid:durableId="704521163">
    <w:abstractNumId w:val="12"/>
  </w:num>
  <w:num w:numId="13" w16cid:durableId="1590328">
    <w:abstractNumId w:val="8"/>
  </w:num>
  <w:num w:numId="14" w16cid:durableId="1057240150">
    <w:abstractNumId w:val="2"/>
  </w:num>
  <w:num w:numId="15" w16cid:durableId="1222524662">
    <w:abstractNumId w:val="19"/>
  </w:num>
  <w:num w:numId="16" w16cid:durableId="1548300273">
    <w:abstractNumId w:val="0"/>
  </w:num>
  <w:num w:numId="17" w16cid:durableId="1753624022">
    <w:abstractNumId w:val="3"/>
  </w:num>
  <w:num w:numId="18" w16cid:durableId="966816779">
    <w:abstractNumId w:val="17"/>
  </w:num>
  <w:num w:numId="19" w16cid:durableId="137889342">
    <w:abstractNumId w:val="7"/>
  </w:num>
  <w:num w:numId="20" w16cid:durableId="1245609371">
    <w:abstractNumId w:val="16"/>
  </w:num>
  <w:num w:numId="21" w16cid:durableId="5674245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133"/>
    <w:rsid w:val="00014909"/>
    <w:rsid w:val="00041380"/>
    <w:rsid w:val="00047D39"/>
    <w:rsid w:val="0008484F"/>
    <w:rsid w:val="000B39CE"/>
    <w:rsid w:val="000B5FDF"/>
    <w:rsid w:val="000D53BF"/>
    <w:rsid w:val="000E6411"/>
    <w:rsid w:val="001347CC"/>
    <w:rsid w:val="001C1983"/>
    <w:rsid w:val="00261CDC"/>
    <w:rsid w:val="00274C0C"/>
    <w:rsid w:val="0029029B"/>
    <w:rsid w:val="00347EDC"/>
    <w:rsid w:val="003C19A4"/>
    <w:rsid w:val="00417EB4"/>
    <w:rsid w:val="00472305"/>
    <w:rsid w:val="004A627C"/>
    <w:rsid w:val="004C65F4"/>
    <w:rsid w:val="00502AD5"/>
    <w:rsid w:val="005563F2"/>
    <w:rsid w:val="005B43D3"/>
    <w:rsid w:val="00647AB0"/>
    <w:rsid w:val="006A2884"/>
    <w:rsid w:val="00774D3B"/>
    <w:rsid w:val="007A21A7"/>
    <w:rsid w:val="007B11A3"/>
    <w:rsid w:val="007D109A"/>
    <w:rsid w:val="007F7EE9"/>
    <w:rsid w:val="008A3DCB"/>
    <w:rsid w:val="008F7BF0"/>
    <w:rsid w:val="00944E70"/>
    <w:rsid w:val="00947C27"/>
    <w:rsid w:val="009A2AF4"/>
    <w:rsid w:val="00A112D2"/>
    <w:rsid w:val="00AE7B6B"/>
    <w:rsid w:val="00AF183E"/>
    <w:rsid w:val="00AF4FA5"/>
    <w:rsid w:val="00B635F2"/>
    <w:rsid w:val="00B81317"/>
    <w:rsid w:val="00BB4260"/>
    <w:rsid w:val="00C61AA4"/>
    <w:rsid w:val="00CA1588"/>
    <w:rsid w:val="00CC62D0"/>
    <w:rsid w:val="00CF4CEB"/>
    <w:rsid w:val="00D50542"/>
    <w:rsid w:val="00DC0DC8"/>
    <w:rsid w:val="00DF6B21"/>
    <w:rsid w:val="00E56F91"/>
    <w:rsid w:val="00E61C81"/>
    <w:rsid w:val="00E74128"/>
    <w:rsid w:val="00E94697"/>
    <w:rsid w:val="00EF33C5"/>
    <w:rsid w:val="00F30133"/>
    <w:rsid w:val="00F81758"/>
    <w:rsid w:val="00F87CED"/>
    <w:rsid w:val="00FC0719"/>
    <w:rsid w:val="00FE0F3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2702"/>
  <w15:chartTrackingRefBased/>
  <w15:docId w15:val="{E6B818FC-C7BD-D440-A3A4-E6F74A30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30133"/>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F30133"/>
    <w:pPr>
      <w:spacing w:before="100" w:beforeAutospacing="1" w:after="100" w:afterAutospacing="1"/>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13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F30133"/>
    <w:rPr>
      <w:rFonts w:ascii="Times New Roman" w:eastAsia="Times New Roman" w:hAnsi="Times New Roman" w:cs="Times New Roman"/>
      <w:b/>
      <w:bCs/>
      <w:sz w:val="36"/>
      <w:szCs w:val="36"/>
      <w:lang w:eastAsia="en-GB"/>
    </w:rPr>
  </w:style>
  <w:style w:type="paragraph" w:customStyle="1" w:styleId="my-0">
    <w:name w:val="my-0"/>
    <w:basedOn w:val="Normal"/>
    <w:rsid w:val="00F30133"/>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F30133"/>
  </w:style>
  <w:style w:type="character" w:styleId="Strong">
    <w:name w:val="Strong"/>
    <w:basedOn w:val="DefaultParagraphFont"/>
    <w:uiPriority w:val="22"/>
    <w:qFormat/>
    <w:rsid w:val="00F30133"/>
    <w:rPr>
      <w:b/>
      <w:bCs/>
    </w:rPr>
  </w:style>
  <w:style w:type="character" w:styleId="Hyperlink">
    <w:name w:val="Hyperlink"/>
    <w:basedOn w:val="DefaultParagraphFont"/>
    <w:uiPriority w:val="99"/>
    <w:semiHidden/>
    <w:unhideWhenUsed/>
    <w:rsid w:val="00F30133"/>
    <w:rPr>
      <w:color w:val="0000FF"/>
      <w:u w:val="single"/>
    </w:rPr>
  </w:style>
  <w:style w:type="character" w:styleId="Emphasis">
    <w:name w:val="Emphasis"/>
    <w:basedOn w:val="DefaultParagraphFont"/>
    <w:uiPriority w:val="20"/>
    <w:qFormat/>
    <w:rsid w:val="00347EDC"/>
    <w:rPr>
      <w:i/>
      <w:iCs/>
    </w:rPr>
  </w:style>
  <w:style w:type="paragraph" w:styleId="Header">
    <w:name w:val="header"/>
    <w:basedOn w:val="Normal"/>
    <w:link w:val="HeaderChar"/>
    <w:uiPriority w:val="99"/>
    <w:unhideWhenUsed/>
    <w:rsid w:val="00E61C81"/>
    <w:pPr>
      <w:tabs>
        <w:tab w:val="center" w:pos="4513"/>
        <w:tab w:val="right" w:pos="9026"/>
      </w:tabs>
    </w:pPr>
  </w:style>
  <w:style w:type="character" w:customStyle="1" w:styleId="HeaderChar">
    <w:name w:val="Header Char"/>
    <w:basedOn w:val="DefaultParagraphFont"/>
    <w:link w:val="Header"/>
    <w:uiPriority w:val="99"/>
    <w:rsid w:val="00E61C81"/>
  </w:style>
  <w:style w:type="paragraph" w:styleId="Footer">
    <w:name w:val="footer"/>
    <w:basedOn w:val="Normal"/>
    <w:link w:val="FooterChar"/>
    <w:uiPriority w:val="99"/>
    <w:unhideWhenUsed/>
    <w:rsid w:val="00E61C81"/>
    <w:pPr>
      <w:tabs>
        <w:tab w:val="center" w:pos="4513"/>
        <w:tab w:val="right" w:pos="9026"/>
      </w:tabs>
    </w:pPr>
  </w:style>
  <w:style w:type="character" w:customStyle="1" w:styleId="FooterChar">
    <w:name w:val="Footer Char"/>
    <w:basedOn w:val="DefaultParagraphFont"/>
    <w:link w:val="Footer"/>
    <w:uiPriority w:val="99"/>
    <w:rsid w:val="00E61C81"/>
  </w:style>
  <w:style w:type="paragraph" w:styleId="ListParagraph">
    <w:name w:val="List Paragraph"/>
    <w:basedOn w:val="Normal"/>
    <w:uiPriority w:val="34"/>
    <w:qFormat/>
    <w:rsid w:val="00774D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83376">
      <w:bodyDiv w:val="1"/>
      <w:marLeft w:val="0"/>
      <w:marRight w:val="0"/>
      <w:marTop w:val="0"/>
      <w:marBottom w:val="0"/>
      <w:divBdr>
        <w:top w:val="none" w:sz="0" w:space="0" w:color="auto"/>
        <w:left w:val="none" w:sz="0" w:space="0" w:color="auto"/>
        <w:bottom w:val="none" w:sz="0" w:space="0" w:color="auto"/>
        <w:right w:val="none" w:sz="0" w:space="0" w:color="auto"/>
      </w:divBdr>
      <w:divsChild>
        <w:div w:id="1859388984">
          <w:marLeft w:val="0"/>
          <w:marRight w:val="0"/>
          <w:marTop w:val="0"/>
          <w:marBottom w:val="0"/>
          <w:divBdr>
            <w:top w:val="none" w:sz="0" w:space="0" w:color="auto"/>
            <w:left w:val="none" w:sz="0" w:space="0" w:color="auto"/>
            <w:bottom w:val="none" w:sz="0" w:space="0" w:color="auto"/>
            <w:right w:val="none" w:sz="0" w:space="0" w:color="auto"/>
          </w:divBdr>
          <w:divsChild>
            <w:div w:id="131316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205">
      <w:bodyDiv w:val="1"/>
      <w:marLeft w:val="0"/>
      <w:marRight w:val="0"/>
      <w:marTop w:val="0"/>
      <w:marBottom w:val="0"/>
      <w:divBdr>
        <w:top w:val="none" w:sz="0" w:space="0" w:color="auto"/>
        <w:left w:val="none" w:sz="0" w:space="0" w:color="auto"/>
        <w:bottom w:val="none" w:sz="0" w:space="0" w:color="auto"/>
        <w:right w:val="none" w:sz="0" w:space="0" w:color="auto"/>
      </w:divBdr>
      <w:divsChild>
        <w:div w:id="140653963">
          <w:marLeft w:val="0"/>
          <w:marRight w:val="0"/>
          <w:marTop w:val="0"/>
          <w:marBottom w:val="0"/>
          <w:divBdr>
            <w:top w:val="none" w:sz="0" w:space="0" w:color="auto"/>
            <w:left w:val="none" w:sz="0" w:space="0" w:color="auto"/>
            <w:bottom w:val="none" w:sz="0" w:space="0" w:color="auto"/>
            <w:right w:val="none" w:sz="0" w:space="0" w:color="auto"/>
          </w:divBdr>
          <w:divsChild>
            <w:div w:id="233930130">
              <w:marLeft w:val="0"/>
              <w:marRight w:val="0"/>
              <w:marTop w:val="0"/>
              <w:marBottom w:val="0"/>
              <w:divBdr>
                <w:top w:val="none" w:sz="0" w:space="0" w:color="auto"/>
                <w:left w:val="none" w:sz="0" w:space="0" w:color="auto"/>
                <w:bottom w:val="none" w:sz="0" w:space="0" w:color="auto"/>
                <w:right w:val="none" w:sz="0" w:space="0" w:color="auto"/>
              </w:divBdr>
              <w:divsChild>
                <w:div w:id="314917636">
                  <w:marLeft w:val="0"/>
                  <w:marRight w:val="0"/>
                  <w:marTop w:val="0"/>
                  <w:marBottom w:val="0"/>
                  <w:divBdr>
                    <w:top w:val="none" w:sz="0" w:space="0" w:color="auto"/>
                    <w:left w:val="none" w:sz="0" w:space="0" w:color="auto"/>
                    <w:bottom w:val="none" w:sz="0" w:space="0" w:color="auto"/>
                    <w:right w:val="none" w:sz="0" w:space="0" w:color="auto"/>
                  </w:divBdr>
                  <w:divsChild>
                    <w:div w:id="285938833">
                      <w:marLeft w:val="0"/>
                      <w:marRight w:val="0"/>
                      <w:marTop w:val="0"/>
                      <w:marBottom w:val="0"/>
                      <w:divBdr>
                        <w:top w:val="none" w:sz="0" w:space="0" w:color="auto"/>
                        <w:left w:val="none" w:sz="0" w:space="0" w:color="auto"/>
                        <w:bottom w:val="none" w:sz="0" w:space="0" w:color="auto"/>
                        <w:right w:val="none" w:sz="0" w:space="0" w:color="auto"/>
                      </w:divBdr>
                    </w:div>
                  </w:divsChild>
                </w:div>
                <w:div w:id="290594008">
                  <w:marLeft w:val="0"/>
                  <w:marRight w:val="0"/>
                  <w:marTop w:val="0"/>
                  <w:marBottom w:val="0"/>
                  <w:divBdr>
                    <w:top w:val="none" w:sz="0" w:space="0" w:color="auto"/>
                    <w:left w:val="none" w:sz="0" w:space="0" w:color="auto"/>
                    <w:bottom w:val="none" w:sz="0" w:space="0" w:color="auto"/>
                    <w:right w:val="none" w:sz="0" w:space="0" w:color="auto"/>
                  </w:divBdr>
                  <w:divsChild>
                    <w:div w:id="507477375">
                      <w:marLeft w:val="0"/>
                      <w:marRight w:val="0"/>
                      <w:marTop w:val="0"/>
                      <w:marBottom w:val="0"/>
                      <w:divBdr>
                        <w:top w:val="none" w:sz="0" w:space="0" w:color="auto"/>
                        <w:left w:val="none" w:sz="0" w:space="0" w:color="auto"/>
                        <w:bottom w:val="none" w:sz="0" w:space="0" w:color="auto"/>
                        <w:right w:val="none" w:sz="0" w:space="0" w:color="auto"/>
                      </w:divBdr>
                    </w:div>
                  </w:divsChild>
                </w:div>
                <w:div w:id="304506621">
                  <w:marLeft w:val="0"/>
                  <w:marRight w:val="0"/>
                  <w:marTop w:val="0"/>
                  <w:marBottom w:val="0"/>
                  <w:divBdr>
                    <w:top w:val="none" w:sz="0" w:space="0" w:color="auto"/>
                    <w:left w:val="none" w:sz="0" w:space="0" w:color="auto"/>
                    <w:bottom w:val="none" w:sz="0" w:space="0" w:color="auto"/>
                    <w:right w:val="none" w:sz="0" w:space="0" w:color="auto"/>
                  </w:divBdr>
                  <w:divsChild>
                    <w:div w:id="804785110">
                      <w:marLeft w:val="0"/>
                      <w:marRight w:val="0"/>
                      <w:marTop w:val="0"/>
                      <w:marBottom w:val="0"/>
                      <w:divBdr>
                        <w:top w:val="none" w:sz="0" w:space="0" w:color="auto"/>
                        <w:left w:val="none" w:sz="0" w:space="0" w:color="auto"/>
                        <w:bottom w:val="none" w:sz="0" w:space="0" w:color="auto"/>
                        <w:right w:val="none" w:sz="0" w:space="0" w:color="auto"/>
                      </w:divBdr>
                    </w:div>
                  </w:divsChild>
                </w:div>
                <w:div w:id="1109158756">
                  <w:marLeft w:val="0"/>
                  <w:marRight w:val="0"/>
                  <w:marTop w:val="0"/>
                  <w:marBottom w:val="0"/>
                  <w:divBdr>
                    <w:top w:val="none" w:sz="0" w:space="0" w:color="auto"/>
                    <w:left w:val="none" w:sz="0" w:space="0" w:color="auto"/>
                    <w:bottom w:val="none" w:sz="0" w:space="0" w:color="auto"/>
                    <w:right w:val="none" w:sz="0" w:space="0" w:color="auto"/>
                  </w:divBdr>
                  <w:divsChild>
                    <w:div w:id="133333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whatuora.govt.nz/for-health-professionals/health-workforce-development/health-workforce-initiatives/childrens-worker-safety-checking-and-child-protection-policies" TargetMode="External"/><Relationship Id="rId18" Type="http://schemas.openxmlformats.org/officeDocument/2006/relationships/hyperlink" Target="https://www.worksafe.govt.nz/laws-and-regulations/operational-policy-framework/worksafe-positions/supporting-mentally-healthy-wor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health.govt.nz/system/files/2022-10/guidelines-to-the-mental-health-compulsory-assessment-and-treatment-act-1992-oct22-v2.pdf" TargetMode="External"/><Relationship Id="rId17" Type="http://schemas.openxmlformats.org/officeDocument/2006/relationships/hyperlink" Target="https://mentalhealth.org.nz/resources/resource/personal-safety-plan" TargetMode="External"/><Relationship Id="rId2" Type="http://schemas.openxmlformats.org/officeDocument/2006/relationships/customXml" Target="../customXml/item2.xml"/><Relationship Id="rId16" Type="http://schemas.openxmlformats.org/officeDocument/2006/relationships/hyperlink" Target="https://www.healthandsafety.govt.nz/assets/Uploads/Creating-mentally-healthy-work-and-workplace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whatuora.govt.nz/assets/Whats-happening/What-to-expect/For-the-health-workforce/Employment-relations/STONZ/Appendix-7/Appendix-7-Best-Practice-Guidelines-Home-Based-Assessments.pdf" TargetMode="External"/><Relationship Id="rId5" Type="http://schemas.openxmlformats.org/officeDocument/2006/relationships/styles" Target="styles.xml"/><Relationship Id="rId15" Type="http://schemas.openxmlformats.org/officeDocument/2006/relationships/hyperlink" Target="https://www.worksafe.govt.nz/topic-and-industry/work-related-health/mental-health/" TargetMode="External"/><Relationship Id="rId10" Type="http://schemas.openxmlformats.org/officeDocument/2006/relationships/image" Target="media/image1.png"/><Relationship Id="rId19" Type="http://schemas.openxmlformats.org/officeDocument/2006/relationships/hyperlink" Target="https://www.health.govt.nz/regulation-legislation/mental-health-and-addiction/mental-health-act/guidelines-and-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pb.business.govt.nz/workplacepolicybuilder/healthAndWellbeing/mentalWellbein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702797C59B384BA5825BD7F91C8FA6" ma:contentTypeVersion="7" ma:contentTypeDescription="Create a new document." ma:contentTypeScope="" ma:versionID="0a48e67129a57fa27ece521bb85c3740">
  <xsd:schema xmlns:xsd="http://www.w3.org/2001/XMLSchema" xmlns:xs="http://www.w3.org/2001/XMLSchema" xmlns:p="http://schemas.microsoft.com/office/2006/metadata/properties" xmlns:ns2="7e670929-1bdc-480c-8510-e43a2a862a6e" targetNamespace="http://schemas.microsoft.com/office/2006/metadata/properties" ma:root="true" ma:fieldsID="592bef4792c8e7a463c9e2e5c429673d" ns2:_="">
    <xsd:import namespace="7e670929-1bdc-480c-8510-e43a2a862a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70929-1bdc-480c-8510-e43a2a862a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61F9E-C919-4FBB-8936-D1D0D70631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61E3A3-42A7-4058-B7DA-234E576A5FC9}">
  <ds:schemaRefs>
    <ds:schemaRef ds:uri="http://schemas.microsoft.com/sharepoint/v3/contenttype/forms"/>
  </ds:schemaRefs>
</ds:datastoreItem>
</file>

<file path=customXml/itemProps3.xml><?xml version="1.0" encoding="utf-8"?>
<ds:datastoreItem xmlns:ds="http://schemas.openxmlformats.org/officeDocument/2006/customXml" ds:itemID="{8E6B635D-9F2D-43C8-A066-B010063F35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70929-1bdc-480c-8510-e43a2a862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884</Words>
  <Characters>4388</Characters>
  <Application>Microsoft Office Word</Application>
  <DocSecurity>0</DocSecurity>
  <Lines>156</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5165</CharactersWithSpaces>
  <SharedDoc>false</SharedDoc>
  <HLinks>
    <vt:vector size="54" baseType="variant">
      <vt:variant>
        <vt:i4>4194372</vt:i4>
      </vt:variant>
      <vt:variant>
        <vt:i4>24</vt:i4>
      </vt:variant>
      <vt:variant>
        <vt:i4>0</vt:i4>
      </vt:variant>
      <vt:variant>
        <vt:i4>5</vt:i4>
      </vt:variant>
      <vt:variant>
        <vt:lpwstr>https://www.health.govt.nz/regulation-legislation/mental-health-and-addiction/mental-health-act/guidelines-and-resources</vt:lpwstr>
      </vt:variant>
      <vt:variant>
        <vt:lpwstr/>
      </vt:variant>
      <vt:variant>
        <vt:i4>7078000</vt:i4>
      </vt:variant>
      <vt:variant>
        <vt:i4>21</vt:i4>
      </vt:variant>
      <vt:variant>
        <vt:i4>0</vt:i4>
      </vt:variant>
      <vt:variant>
        <vt:i4>5</vt:i4>
      </vt:variant>
      <vt:variant>
        <vt:lpwstr>https://www.worksafe.govt.nz/laws-and-regulations/operational-policy-framework/worksafe-positions/supporting-mentally-healthy-work/</vt:lpwstr>
      </vt:variant>
      <vt:variant>
        <vt:lpwstr/>
      </vt:variant>
      <vt:variant>
        <vt:i4>2490431</vt:i4>
      </vt:variant>
      <vt:variant>
        <vt:i4>18</vt:i4>
      </vt:variant>
      <vt:variant>
        <vt:i4>0</vt:i4>
      </vt:variant>
      <vt:variant>
        <vt:i4>5</vt:i4>
      </vt:variant>
      <vt:variant>
        <vt:lpwstr>https://mentalhealth.org.nz/resources/resource/personal-safety-plan</vt:lpwstr>
      </vt:variant>
      <vt:variant>
        <vt:lpwstr/>
      </vt:variant>
      <vt:variant>
        <vt:i4>524373</vt:i4>
      </vt:variant>
      <vt:variant>
        <vt:i4>15</vt:i4>
      </vt:variant>
      <vt:variant>
        <vt:i4>0</vt:i4>
      </vt:variant>
      <vt:variant>
        <vt:i4>5</vt:i4>
      </vt:variant>
      <vt:variant>
        <vt:lpwstr>https://www.healthandsafety.govt.nz/assets/Uploads/Creating-mentally-healthy-work-and-workplaces.pdf</vt:lpwstr>
      </vt:variant>
      <vt:variant>
        <vt:lpwstr/>
      </vt:variant>
      <vt:variant>
        <vt:i4>3866737</vt:i4>
      </vt:variant>
      <vt:variant>
        <vt:i4>12</vt:i4>
      </vt:variant>
      <vt:variant>
        <vt:i4>0</vt:i4>
      </vt:variant>
      <vt:variant>
        <vt:i4>5</vt:i4>
      </vt:variant>
      <vt:variant>
        <vt:lpwstr>https://www.worksafe.govt.nz/topic-and-industry/work-related-health/mental-health/</vt:lpwstr>
      </vt:variant>
      <vt:variant>
        <vt:lpwstr/>
      </vt:variant>
      <vt:variant>
        <vt:i4>3145838</vt:i4>
      </vt:variant>
      <vt:variant>
        <vt:i4>9</vt:i4>
      </vt:variant>
      <vt:variant>
        <vt:i4>0</vt:i4>
      </vt:variant>
      <vt:variant>
        <vt:i4>5</vt:i4>
      </vt:variant>
      <vt:variant>
        <vt:lpwstr>https://wpb.business.govt.nz/workplacepolicybuilder/healthAndWellbeing/mentalWellbeing</vt:lpwstr>
      </vt:variant>
      <vt:variant>
        <vt:lpwstr/>
      </vt:variant>
      <vt:variant>
        <vt:i4>720969</vt:i4>
      </vt:variant>
      <vt:variant>
        <vt:i4>6</vt:i4>
      </vt:variant>
      <vt:variant>
        <vt:i4>0</vt:i4>
      </vt:variant>
      <vt:variant>
        <vt:i4>5</vt:i4>
      </vt:variant>
      <vt:variant>
        <vt:lpwstr>https://www.tewhatuora.govt.nz/for-health-professionals/health-workforce-development/health-workforce-initiatives/childrens-worker-safety-checking-and-child-protection-policies</vt:lpwstr>
      </vt:variant>
      <vt:variant>
        <vt:lpwstr/>
      </vt:variant>
      <vt:variant>
        <vt:i4>4980747</vt:i4>
      </vt:variant>
      <vt:variant>
        <vt:i4>3</vt:i4>
      </vt:variant>
      <vt:variant>
        <vt:i4>0</vt:i4>
      </vt:variant>
      <vt:variant>
        <vt:i4>5</vt:i4>
      </vt:variant>
      <vt:variant>
        <vt:lpwstr>https://www.health.govt.nz/system/files/2022-10/guidelines-to-the-mental-health-compulsory-assessment-and-treatment-act-1992-oct22-v2.pdf</vt:lpwstr>
      </vt:variant>
      <vt:variant>
        <vt:lpwstr/>
      </vt:variant>
      <vt:variant>
        <vt:i4>2228285</vt:i4>
      </vt:variant>
      <vt:variant>
        <vt:i4>0</vt:i4>
      </vt:variant>
      <vt:variant>
        <vt:i4>0</vt:i4>
      </vt:variant>
      <vt:variant>
        <vt:i4>5</vt:i4>
      </vt:variant>
      <vt:variant>
        <vt:lpwstr>https://www.tewhatuora.govt.nz/assets/Whats-happening/What-to-expect/For-the-health-workforce/Employment-relations/STONZ/Appendix-7/Appendix-7-Best-Practice-Guidelines-Home-Based-Assessments.pdf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K</dc:creator>
  <cp:keywords/>
  <dc:description/>
  <cp:lastModifiedBy>Michelle Cogger</cp:lastModifiedBy>
  <cp:revision>2</cp:revision>
  <dcterms:created xsi:type="dcterms:W3CDTF">2026-03-30T04:29:00Z</dcterms:created>
  <dcterms:modified xsi:type="dcterms:W3CDTF">2026-03-30T04:29:00Z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0x010100CB702797C59B384BA5825BD7F91C8FA6</vt:lpwstr>
  </property>
  <property fmtid="{D5CDD505-2E9C-101B-9397-08002B2CF9AE}" pid="3" name="docLang">
    <vt:lpwstr>en</vt:lpwstr>
  </property>
</Properties>
</file>